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054766" w:rsidRDefault="00361DC1" w:rsidP="00054766">
      <w:pPr>
        <w:jc w:val="right"/>
      </w:pPr>
      <w:r>
        <w:t xml:space="preserve">Maribor, </w:t>
      </w:r>
      <w:r w:rsidR="00594F61">
        <w:t>11.</w:t>
      </w:r>
      <w:r w:rsidR="00E9735D">
        <w:t xml:space="preserve"> </w:t>
      </w:r>
      <w:r w:rsidR="00594F61">
        <w:t>3</w:t>
      </w:r>
      <w:r w:rsidR="00054766">
        <w:t>.</w:t>
      </w:r>
      <w:r w:rsidR="00E9735D">
        <w:t xml:space="preserve"> </w:t>
      </w:r>
      <w:r w:rsidR="00594F61">
        <w:t>2019</w:t>
      </w:r>
    </w:p>
    <w:p w:rsidR="00281100" w:rsidRPr="00281100" w:rsidRDefault="00CB671C" w:rsidP="00281100">
      <w:pPr>
        <w:spacing w:after="0" w:line="264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OSNUTEK </w:t>
      </w:r>
      <w:r w:rsidR="00281100" w:rsidRPr="00281100">
        <w:rPr>
          <w:rFonts w:eastAsia="Calibri"/>
          <w:b/>
        </w:rPr>
        <w:t>ZAPISNIK</w:t>
      </w:r>
      <w:r>
        <w:rPr>
          <w:rFonts w:eastAsia="Calibri"/>
          <w:b/>
        </w:rPr>
        <w:t>a</w:t>
      </w:r>
    </w:p>
    <w:p w:rsidR="00281100" w:rsidRPr="00281100" w:rsidRDefault="00C5005F" w:rsidP="00281100">
      <w:pPr>
        <w:spacing w:after="0" w:line="264" w:lineRule="auto"/>
        <w:jc w:val="center"/>
        <w:rPr>
          <w:rFonts w:eastAsia="Calibri"/>
          <w:b/>
        </w:rPr>
      </w:pPr>
      <w:r>
        <w:rPr>
          <w:rFonts w:eastAsia="Calibri"/>
          <w:b/>
        </w:rPr>
        <w:t>1</w:t>
      </w:r>
      <w:r w:rsidR="00286B75">
        <w:rPr>
          <w:rFonts w:eastAsia="Calibri"/>
          <w:b/>
        </w:rPr>
        <w:t>.</w:t>
      </w:r>
      <w:r w:rsidR="00281100" w:rsidRPr="00281100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konstitutivne </w:t>
      </w:r>
      <w:r w:rsidR="00281100" w:rsidRPr="00281100">
        <w:rPr>
          <w:rFonts w:eastAsia="Calibri"/>
          <w:b/>
        </w:rPr>
        <w:t>seje Knji</w:t>
      </w:r>
      <w:r w:rsidR="00CB671C">
        <w:rPr>
          <w:rFonts w:eastAsia="Calibri"/>
          <w:b/>
        </w:rPr>
        <w:t>ž</w:t>
      </w:r>
      <w:r w:rsidR="00286B75">
        <w:rPr>
          <w:rFonts w:eastAsia="Calibri"/>
          <w:b/>
        </w:rPr>
        <w:t xml:space="preserve">ničnega odbora PF UM, </w:t>
      </w:r>
      <w:r>
        <w:rPr>
          <w:rFonts w:eastAsia="Calibri"/>
          <w:b/>
        </w:rPr>
        <w:t>ponedeljek,</w:t>
      </w:r>
      <w:r w:rsidR="00286B75">
        <w:rPr>
          <w:rFonts w:eastAsia="Calibri"/>
          <w:b/>
        </w:rPr>
        <w:t xml:space="preserve"> </w:t>
      </w:r>
      <w:r>
        <w:rPr>
          <w:rFonts w:eastAsia="Calibri"/>
          <w:b/>
        </w:rPr>
        <w:t>11. marca 2019</w:t>
      </w:r>
      <w:r w:rsidR="00286B75">
        <w:rPr>
          <w:rFonts w:eastAsia="Calibri"/>
          <w:b/>
        </w:rPr>
        <w:t>, ob 12.0</w:t>
      </w:r>
      <w:r w:rsidR="00281100" w:rsidRPr="00281100">
        <w:rPr>
          <w:rFonts w:eastAsia="Calibri"/>
          <w:b/>
        </w:rPr>
        <w:t xml:space="preserve">0 uri, Senatna soba </w:t>
      </w:r>
    </w:p>
    <w:p w:rsidR="00281100" w:rsidRPr="00281100" w:rsidRDefault="00281100" w:rsidP="00281100">
      <w:pPr>
        <w:spacing w:after="0" w:line="264" w:lineRule="auto"/>
        <w:jc w:val="both"/>
        <w:rPr>
          <w:rFonts w:eastAsia="Calibri"/>
          <w:b/>
        </w:rPr>
      </w:pPr>
    </w:p>
    <w:p w:rsidR="00281100" w:rsidRDefault="00281100" w:rsidP="00C5005F">
      <w:pPr>
        <w:spacing w:after="0" w:line="264" w:lineRule="auto"/>
        <w:jc w:val="both"/>
        <w:rPr>
          <w:rFonts w:eastAsia="Calibri"/>
        </w:rPr>
      </w:pPr>
      <w:r w:rsidRPr="00281100">
        <w:rPr>
          <w:rFonts w:eastAsia="Calibri"/>
          <w:b/>
        </w:rPr>
        <w:t>Vabljeni:</w:t>
      </w:r>
      <w:r w:rsidRPr="00281100">
        <w:rPr>
          <w:rFonts w:eastAsia="Calibri"/>
        </w:rPr>
        <w:t xml:space="preserve"> </w:t>
      </w:r>
      <w:r w:rsidR="00C5005F" w:rsidRPr="00C5005F">
        <w:rPr>
          <w:rFonts w:eastAsia="Calibri"/>
        </w:rPr>
        <w:t>izr. prof. dr. Borut Holcman,</w:t>
      </w:r>
      <w:r w:rsidR="00594F61">
        <w:rPr>
          <w:rFonts w:eastAsia="Calibri"/>
        </w:rPr>
        <w:t xml:space="preserve"> </w:t>
      </w:r>
      <w:r w:rsidR="00C5005F" w:rsidRPr="00C5005F">
        <w:rPr>
          <w:rFonts w:eastAsia="Calibri"/>
        </w:rPr>
        <w:t>red. prof. dr. Vesna Kranjc,</w:t>
      </w:r>
      <w:r w:rsidR="00594F61">
        <w:rPr>
          <w:rFonts w:eastAsia="Calibri"/>
        </w:rPr>
        <w:t xml:space="preserve"> </w:t>
      </w:r>
      <w:r w:rsidR="00C5005F" w:rsidRPr="00C5005F">
        <w:rPr>
          <w:rFonts w:eastAsia="Calibri"/>
        </w:rPr>
        <w:t>izr. prof. dr. Tjaša Ivanc,</w:t>
      </w:r>
      <w:r w:rsidR="00594F61">
        <w:rPr>
          <w:rFonts w:eastAsia="Calibri"/>
        </w:rPr>
        <w:t xml:space="preserve"> </w:t>
      </w:r>
      <w:r w:rsidR="00C5005F" w:rsidRPr="00C5005F">
        <w:rPr>
          <w:rFonts w:eastAsia="Calibri"/>
        </w:rPr>
        <w:t>izr. prof. dr. Darja Senčur Peček,</w:t>
      </w:r>
      <w:r w:rsidR="00594F61">
        <w:rPr>
          <w:rFonts w:eastAsia="Calibri"/>
        </w:rPr>
        <w:t xml:space="preserve"> </w:t>
      </w:r>
      <w:r w:rsidR="00C5005F" w:rsidRPr="00C5005F">
        <w:rPr>
          <w:rFonts w:eastAsia="Calibri"/>
        </w:rPr>
        <w:t>red. prof. dr. Bojan Škof,</w:t>
      </w:r>
      <w:r w:rsidR="00594F61">
        <w:rPr>
          <w:rFonts w:eastAsia="Calibri"/>
        </w:rPr>
        <w:t xml:space="preserve"> </w:t>
      </w:r>
      <w:r w:rsidR="00C5005F" w:rsidRPr="00C5005F">
        <w:rPr>
          <w:rFonts w:eastAsia="Calibri"/>
        </w:rPr>
        <w:t>izr. dr. Aleš Ferčič</w:t>
      </w:r>
      <w:r w:rsidR="00594F61">
        <w:rPr>
          <w:rFonts w:eastAsia="Calibri"/>
        </w:rPr>
        <w:t xml:space="preserve">, </w:t>
      </w:r>
      <w:r w:rsidR="00C5005F" w:rsidRPr="00C5005F">
        <w:rPr>
          <w:rFonts w:eastAsia="Calibri"/>
        </w:rPr>
        <w:t>doc. dr. Miha Šepec,</w:t>
      </w:r>
      <w:r w:rsidR="00594F61">
        <w:rPr>
          <w:rFonts w:eastAsia="Calibri"/>
        </w:rPr>
        <w:t xml:space="preserve"> </w:t>
      </w:r>
      <w:r w:rsidR="00C5005F" w:rsidRPr="00C5005F">
        <w:rPr>
          <w:rFonts w:eastAsia="Calibri"/>
        </w:rPr>
        <w:t>Leon Brulc</w:t>
      </w:r>
      <w:r w:rsidR="00594F61">
        <w:rPr>
          <w:rFonts w:eastAsia="Calibri"/>
        </w:rPr>
        <w:t>, študent</w:t>
      </w:r>
      <w:r w:rsidR="00C5005F" w:rsidRPr="00C5005F">
        <w:rPr>
          <w:rFonts w:eastAsia="Calibri"/>
        </w:rPr>
        <w:t xml:space="preserve"> </w:t>
      </w:r>
      <w:r w:rsidR="00594F61">
        <w:rPr>
          <w:rFonts w:eastAsia="Calibri"/>
        </w:rPr>
        <w:t xml:space="preserve">in </w:t>
      </w:r>
      <w:r w:rsidR="00C5005F" w:rsidRPr="00C5005F">
        <w:rPr>
          <w:rFonts w:eastAsia="Calibri"/>
        </w:rPr>
        <w:t>mag. Natalija Orešek, bibliotekarka.</w:t>
      </w:r>
    </w:p>
    <w:p w:rsidR="00C5005F" w:rsidRPr="00281100" w:rsidRDefault="00C5005F" w:rsidP="00C5005F">
      <w:pPr>
        <w:spacing w:after="0" w:line="264" w:lineRule="auto"/>
        <w:jc w:val="both"/>
        <w:rPr>
          <w:rFonts w:eastAsia="Calibri"/>
        </w:rPr>
      </w:pPr>
    </w:p>
    <w:p w:rsidR="00281100" w:rsidRPr="00281100" w:rsidRDefault="00281100" w:rsidP="00281100">
      <w:pPr>
        <w:spacing w:after="0" w:line="264" w:lineRule="auto"/>
        <w:jc w:val="both"/>
        <w:rPr>
          <w:rFonts w:eastAsia="Calibri"/>
        </w:rPr>
      </w:pPr>
      <w:r w:rsidRPr="00281100">
        <w:rPr>
          <w:rFonts w:eastAsia="Calibri"/>
          <w:b/>
        </w:rPr>
        <w:t>Prisotni:</w:t>
      </w:r>
      <w:r w:rsidRPr="00281100">
        <w:rPr>
          <w:rFonts w:eastAsia="Calibri"/>
        </w:rPr>
        <w:t xml:space="preserve"> </w:t>
      </w:r>
      <w:r w:rsidR="00594F61" w:rsidRPr="00C5005F">
        <w:rPr>
          <w:rFonts w:eastAsia="Calibri"/>
        </w:rPr>
        <w:t>izr. prof. dr. Borut Holcman,</w:t>
      </w:r>
      <w:r w:rsidR="00594F61">
        <w:rPr>
          <w:rFonts w:eastAsia="Calibri"/>
        </w:rPr>
        <w:t xml:space="preserve"> </w:t>
      </w:r>
      <w:r w:rsidR="00594F61" w:rsidRPr="00C5005F">
        <w:rPr>
          <w:rFonts w:eastAsia="Calibri"/>
        </w:rPr>
        <w:t>red. prof. dr. Vesna Kranjc,</w:t>
      </w:r>
      <w:r w:rsidR="00594F61">
        <w:rPr>
          <w:rFonts w:eastAsia="Calibri"/>
        </w:rPr>
        <w:t xml:space="preserve"> </w:t>
      </w:r>
      <w:r w:rsidR="00594F61" w:rsidRPr="00C5005F">
        <w:rPr>
          <w:rFonts w:eastAsia="Calibri"/>
        </w:rPr>
        <w:t>izr. prof. dr. Tjaša Ivanc,</w:t>
      </w:r>
      <w:r w:rsidR="00594F61">
        <w:rPr>
          <w:rFonts w:eastAsia="Calibri"/>
        </w:rPr>
        <w:t xml:space="preserve"> </w:t>
      </w:r>
      <w:r w:rsidR="00594F61" w:rsidRPr="00C5005F">
        <w:rPr>
          <w:rFonts w:eastAsia="Calibri"/>
        </w:rPr>
        <w:t>izr. prof. dr. Darja Senčur Peček,</w:t>
      </w:r>
      <w:r w:rsidR="00594F61">
        <w:rPr>
          <w:rFonts w:eastAsia="Calibri"/>
        </w:rPr>
        <w:t xml:space="preserve"> </w:t>
      </w:r>
      <w:r w:rsidR="00594F61" w:rsidRPr="00C5005F">
        <w:rPr>
          <w:rFonts w:eastAsia="Calibri"/>
        </w:rPr>
        <w:t>izr. dr. Aleš Ferčič</w:t>
      </w:r>
      <w:r w:rsidR="00594F61">
        <w:rPr>
          <w:rFonts w:eastAsia="Calibri"/>
        </w:rPr>
        <w:t xml:space="preserve">, </w:t>
      </w:r>
      <w:r w:rsidR="00594F61" w:rsidRPr="00C5005F">
        <w:rPr>
          <w:rFonts w:eastAsia="Calibri"/>
        </w:rPr>
        <w:t>Leon Brulc</w:t>
      </w:r>
      <w:r w:rsidR="00594F61">
        <w:rPr>
          <w:rFonts w:eastAsia="Calibri"/>
        </w:rPr>
        <w:t>, študent</w:t>
      </w:r>
      <w:r w:rsidR="00594F61" w:rsidRPr="00C5005F">
        <w:rPr>
          <w:rFonts w:eastAsia="Calibri"/>
        </w:rPr>
        <w:t xml:space="preserve"> </w:t>
      </w:r>
      <w:r w:rsidR="00594F61">
        <w:rPr>
          <w:rFonts w:eastAsia="Calibri"/>
        </w:rPr>
        <w:t xml:space="preserve">in </w:t>
      </w:r>
      <w:r w:rsidR="00594F61" w:rsidRPr="00C5005F">
        <w:rPr>
          <w:rFonts w:eastAsia="Calibri"/>
        </w:rPr>
        <w:t>mag. Natalija Orešek, bibliotekarka.</w:t>
      </w:r>
    </w:p>
    <w:p w:rsidR="00281100" w:rsidRDefault="00281100" w:rsidP="00281100">
      <w:pPr>
        <w:spacing w:after="0" w:line="264" w:lineRule="auto"/>
        <w:jc w:val="both"/>
        <w:rPr>
          <w:rFonts w:eastAsia="Calibri"/>
        </w:rPr>
      </w:pPr>
    </w:p>
    <w:p w:rsidR="00C5005F" w:rsidRDefault="00C5005F" w:rsidP="00281100">
      <w:pPr>
        <w:spacing w:after="0" w:line="264" w:lineRule="auto"/>
        <w:jc w:val="both"/>
        <w:rPr>
          <w:rFonts w:eastAsia="Calibri"/>
        </w:rPr>
      </w:pPr>
      <w:r w:rsidRPr="00594F61">
        <w:rPr>
          <w:rFonts w:eastAsia="Calibri"/>
          <w:b/>
        </w:rPr>
        <w:t>Opravičeno odsotni</w:t>
      </w:r>
      <w:r>
        <w:rPr>
          <w:rFonts w:eastAsia="Calibri"/>
        </w:rPr>
        <w:t>: dr. Bojan Škof, dr. Miha Šepec</w:t>
      </w:r>
    </w:p>
    <w:p w:rsidR="00C5005F" w:rsidRPr="00281100" w:rsidRDefault="00C5005F" w:rsidP="00281100">
      <w:pPr>
        <w:spacing w:after="0" w:line="264" w:lineRule="auto"/>
        <w:jc w:val="both"/>
        <w:rPr>
          <w:rFonts w:eastAsia="Calibri"/>
        </w:rPr>
      </w:pPr>
    </w:p>
    <w:p w:rsidR="00281100" w:rsidRDefault="00281100" w:rsidP="00281100">
      <w:pPr>
        <w:shd w:val="clear" w:color="auto" w:fill="FFFFFF"/>
        <w:spacing w:after="0" w:line="264" w:lineRule="auto"/>
        <w:jc w:val="both"/>
        <w:rPr>
          <w:rFonts w:cs="Arial"/>
          <w:b/>
          <w:color w:val="000000"/>
          <w:lang w:eastAsia="sl-SI"/>
        </w:rPr>
      </w:pPr>
      <w:r w:rsidRPr="00281100">
        <w:rPr>
          <w:rFonts w:cs="Arial"/>
          <w:b/>
          <w:color w:val="000000"/>
          <w:lang w:eastAsia="sl-SI"/>
        </w:rPr>
        <w:t>DNEVNI RED:</w:t>
      </w:r>
    </w:p>
    <w:p w:rsidR="00C5005F" w:rsidRDefault="00C5005F" w:rsidP="00C5005F">
      <w:pPr>
        <w:pStyle w:val="Odstavekseznama"/>
        <w:numPr>
          <w:ilvl w:val="0"/>
          <w:numId w:val="4"/>
        </w:numPr>
      </w:pPr>
      <w:r w:rsidRPr="00C5005F">
        <w:rPr>
          <w:color w:val="000000"/>
        </w:rPr>
        <w:t>Sklepčnost</w:t>
      </w:r>
    </w:p>
    <w:p w:rsidR="00C5005F" w:rsidRDefault="00C5005F" w:rsidP="00C5005F">
      <w:pPr>
        <w:pStyle w:val="Odstavekseznama"/>
        <w:numPr>
          <w:ilvl w:val="0"/>
          <w:numId w:val="4"/>
        </w:numPr>
      </w:pPr>
      <w:r w:rsidRPr="00C5005F">
        <w:rPr>
          <w:color w:val="000000"/>
        </w:rPr>
        <w:t>Konstituiranje novega KO in volitev vodstva KO, novo vodstvo prevzame vodenje seje</w:t>
      </w:r>
    </w:p>
    <w:p w:rsidR="00C5005F" w:rsidRDefault="00C5005F" w:rsidP="00C5005F">
      <w:pPr>
        <w:pStyle w:val="Odstavekseznama"/>
        <w:numPr>
          <w:ilvl w:val="0"/>
          <w:numId w:val="4"/>
        </w:numPr>
      </w:pPr>
      <w:r w:rsidRPr="00C5005F">
        <w:rPr>
          <w:color w:val="000000"/>
        </w:rPr>
        <w:t>Pregled zapisnika zadnje redne in zadnje korespondenčne seje KO</w:t>
      </w:r>
    </w:p>
    <w:p w:rsidR="00C5005F" w:rsidRPr="00C5005F" w:rsidRDefault="00C5005F" w:rsidP="00C5005F">
      <w:pPr>
        <w:pStyle w:val="Odstavekseznama"/>
        <w:numPr>
          <w:ilvl w:val="0"/>
          <w:numId w:val="4"/>
        </w:numPr>
        <w:rPr>
          <w:color w:val="000000"/>
        </w:rPr>
      </w:pPr>
      <w:r w:rsidRPr="00C5005F">
        <w:rPr>
          <w:color w:val="000000"/>
        </w:rPr>
        <w:t>Izbor dobavitelja revij za knjižnico (javno naročilo revij za leto 2019) in prehod na model e-only (Sage)</w:t>
      </w:r>
    </w:p>
    <w:p w:rsidR="00C5005F" w:rsidRDefault="00C5005F" w:rsidP="00C5005F">
      <w:pPr>
        <w:pStyle w:val="Odstavekseznama"/>
        <w:numPr>
          <w:ilvl w:val="0"/>
          <w:numId w:val="4"/>
        </w:numPr>
      </w:pPr>
      <w:r>
        <w:t xml:space="preserve">Naročnina na reviji Revus in Lex localis </w:t>
      </w:r>
    </w:p>
    <w:p w:rsidR="00C5005F" w:rsidRPr="00C5005F" w:rsidRDefault="00C5005F" w:rsidP="00C5005F">
      <w:pPr>
        <w:pStyle w:val="Odstavekseznama"/>
        <w:numPr>
          <w:ilvl w:val="0"/>
          <w:numId w:val="4"/>
        </w:numPr>
        <w:rPr>
          <w:color w:val="000000"/>
        </w:rPr>
      </w:pPr>
      <w:r>
        <w:t>Naročilo baz (WestLaw, BeckOnline Premium, RDB, HeinOnline)</w:t>
      </w:r>
      <w:r w:rsidRPr="00C5005F">
        <w:rPr>
          <w:color w:val="000000"/>
        </w:rPr>
        <w:t xml:space="preserve"> </w:t>
      </w:r>
    </w:p>
    <w:p w:rsidR="00C5005F" w:rsidRPr="00C5005F" w:rsidRDefault="00C5005F" w:rsidP="00C5005F">
      <w:pPr>
        <w:pStyle w:val="Odstavekseznama"/>
        <w:numPr>
          <w:ilvl w:val="0"/>
          <w:numId w:val="4"/>
        </w:numPr>
        <w:rPr>
          <w:color w:val="000000"/>
        </w:rPr>
      </w:pPr>
      <w:r w:rsidRPr="00C5005F">
        <w:rPr>
          <w:color w:val="000000"/>
        </w:rPr>
        <w:t xml:space="preserve">Naročilo knjig in revij </w:t>
      </w:r>
    </w:p>
    <w:p w:rsidR="00C5005F" w:rsidRDefault="00C5005F" w:rsidP="00C5005F">
      <w:pPr>
        <w:pStyle w:val="Odstavekseznama"/>
        <w:numPr>
          <w:ilvl w:val="0"/>
          <w:numId w:val="4"/>
        </w:numPr>
      </w:pPr>
      <w:r w:rsidRPr="00C5005F">
        <w:rPr>
          <w:color w:val="000000"/>
        </w:rPr>
        <w:t>Razno</w:t>
      </w:r>
    </w:p>
    <w:p w:rsidR="00C5005F" w:rsidRDefault="00C5005F" w:rsidP="00281100">
      <w:pPr>
        <w:spacing w:after="0" w:line="264" w:lineRule="auto"/>
        <w:jc w:val="both"/>
        <w:rPr>
          <w:rFonts w:eastAsia="Calibri"/>
          <w:b/>
        </w:rPr>
      </w:pPr>
    </w:p>
    <w:p w:rsidR="00281100" w:rsidRPr="000772CB" w:rsidRDefault="00281100" w:rsidP="00281100">
      <w:pPr>
        <w:spacing w:after="0" w:line="264" w:lineRule="auto"/>
        <w:jc w:val="both"/>
        <w:rPr>
          <w:rFonts w:eastAsia="Calibri"/>
          <w:i/>
        </w:rPr>
      </w:pPr>
      <w:r w:rsidRPr="000772CB">
        <w:rPr>
          <w:rFonts w:eastAsia="Calibri"/>
          <w:i/>
        </w:rPr>
        <w:t>Ad1.</w:t>
      </w:r>
      <w:r w:rsidR="003230E7" w:rsidRPr="000772CB">
        <w:rPr>
          <w:rFonts w:eastAsia="Calibri"/>
          <w:i/>
        </w:rPr>
        <w:t>:</w:t>
      </w:r>
      <w:r w:rsidRPr="000772CB">
        <w:rPr>
          <w:rFonts w:eastAsia="Calibri"/>
          <w:i/>
        </w:rPr>
        <w:t xml:space="preserve"> </w:t>
      </w:r>
      <w:r w:rsidR="003230E7" w:rsidRPr="000772CB">
        <w:rPr>
          <w:rFonts w:eastAsia="Calibri"/>
          <w:i/>
        </w:rPr>
        <w:t>Sklepčnost</w:t>
      </w:r>
    </w:p>
    <w:p w:rsidR="00C5005F" w:rsidRDefault="00C5005F" w:rsidP="00594F61">
      <w:pPr>
        <w:jc w:val="both"/>
      </w:pPr>
      <w:r>
        <w:t>Senat Pravne fakultete UM je na 17. redni seji, dne 5. decembra 2018 in na 63. redni seji, dne 11. januarja 2019, sprejel sklep</w:t>
      </w:r>
      <w:r w:rsidR="00594F61">
        <w:t>a</w:t>
      </w:r>
      <w:r>
        <w:t>, s katerim</w:t>
      </w:r>
      <w:r w:rsidR="00594F61">
        <w:t>a</w:t>
      </w:r>
      <w:r>
        <w:t xml:space="preserve"> je imenoval člane Knjižničnega odbora Knjižnice Pravne fakultete Univerze v Mariboru </w:t>
      </w:r>
      <w:r w:rsidR="00640991">
        <w:t xml:space="preserve">(v nadaljevanju: KO UMPF) </w:t>
      </w:r>
      <w:r>
        <w:t>iz vrst učiteljev in študentov</w:t>
      </w:r>
      <w:r w:rsidR="00594F61">
        <w:t xml:space="preserve"> Pravne fakultete Univerze v Mariboru</w:t>
      </w:r>
      <w:r>
        <w:t xml:space="preserve">. </w:t>
      </w:r>
    </w:p>
    <w:p w:rsidR="00C5005F" w:rsidRDefault="00594F61" w:rsidP="00281100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Člani KO UMPF</w:t>
      </w:r>
      <w:r w:rsidR="00C5005F">
        <w:rPr>
          <w:rFonts w:eastAsia="Calibri"/>
        </w:rPr>
        <w:t xml:space="preserve">: </w:t>
      </w:r>
    </w:p>
    <w:p w:rsidR="00C5005F" w:rsidRPr="00C5005F" w:rsidRDefault="00C5005F" w:rsidP="00C5005F">
      <w:pPr>
        <w:pStyle w:val="Odstavekseznama"/>
        <w:numPr>
          <w:ilvl w:val="0"/>
          <w:numId w:val="17"/>
        </w:numPr>
        <w:spacing w:line="264" w:lineRule="auto"/>
        <w:jc w:val="both"/>
        <w:rPr>
          <w:rFonts w:eastAsia="Calibri"/>
        </w:rPr>
      </w:pPr>
      <w:r w:rsidRPr="00C5005F">
        <w:rPr>
          <w:rFonts w:eastAsia="Calibri"/>
        </w:rPr>
        <w:t>izr. prof. dr. Borut Holcman (predstavnik Katedre za temeljne pravne in druge vede),</w:t>
      </w:r>
    </w:p>
    <w:p w:rsidR="00C5005F" w:rsidRPr="00C5005F" w:rsidRDefault="00C5005F" w:rsidP="00C5005F">
      <w:pPr>
        <w:pStyle w:val="Odstavekseznama"/>
        <w:numPr>
          <w:ilvl w:val="0"/>
          <w:numId w:val="17"/>
        </w:numPr>
        <w:spacing w:line="264" w:lineRule="auto"/>
        <w:jc w:val="both"/>
        <w:rPr>
          <w:rFonts w:eastAsia="Calibri"/>
        </w:rPr>
      </w:pPr>
      <w:r w:rsidRPr="00C5005F">
        <w:rPr>
          <w:rFonts w:eastAsia="Calibri"/>
        </w:rPr>
        <w:t>red. prof. dr. Vesna Kranjc (predstavnica Katedre za gospodarsko pravo),</w:t>
      </w:r>
    </w:p>
    <w:p w:rsidR="00C5005F" w:rsidRPr="00C5005F" w:rsidRDefault="00C5005F" w:rsidP="00C5005F">
      <w:pPr>
        <w:pStyle w:val="Odstavekseznama"/>
        <w:numPr>
          <w:ilvl w:val="0"/>
          <w:numId w:val="17"/>
        </w:numPr>
        <w:spacing w:line="264" w:lineRule="auto"/>
        <w:jc w:val="both"/>
        <w:rPr>
          <w:rFonts w:eastAsia="Calibri"/>
        </w:rPr>
      </w:pPr>
      <w:r w:rsidRPr="00C5005F">
        <w:rPr>
          <w:rFonts w:eastAsia="Calibri"/>
        </w:rPr>
        <w:t>izr. prof. dr. Tjaša Ivanc (predstavnica Katedre za civilno, mednarodno zasebno in primerjalno pravo),</w:t>
      </w:r>
    </w:p>
    <w:p w:rsidR="00C5005F" w:rsidRPr="00C5005F" w:rsidRDefault="00C5005F" w:rsidP="00C5005F">
      <w:pPr>
        <w:pStyle w:val="Odstavekseznama"/>
        <w:numPr>
          <w:ilvl w:val="0"/>
          <w:numId w:val="17"/>
        </w:numPr>
        <w:spacing w:line="264" w:lineRule="auto"/>
        <w:jc w:val="both"/>
        <w:rPr>
          <w:rFonts w:eastAsia="Calibri"/>
        </w:rPr>
      </w:pPr>
      <w:r w:rsidRPr="00C5005F">
        <w:rPr>
          <w:rFonts w:eastAsia="Calibri"/>
        </w:rPr>
        <w:t>izr. prof. dr. Darja Senčur Peček (predstavnica Katedre za delovno pravo),</w:t>
      </w:r>
    </w:p>
    <w:p w:rsidR="00C5005F" w:rsidRPr="00C5005F" w:rsidRDefault="00C5005F" w:rsidP="00C5005F">
      <w:pPr>
        <w:pStyle w:val="Odstavekseznama"/>
        <w:numPr>
          <w:ilvl w:val="0"/>
          <w:numId w:val="17"/>
        </w:numPr>
        <w:spacing w:line="264" w:lineRule="auto"/>
        <w:jc w:val="both"/>
        <w:rPr>
          <w:rFonts w:eastAsia="Calibri"/>
        </w:rPr>
      </w:pPr>
      <w:r w:rsidRPr="00C5005F">
        <w:rPr>
          <w:rFonts w:eastAsia="Calibri"/>
        </w:rPr>
        <w:t>red. prof. dr. Bojan Škof (predstavnik Katedre za ustavno, upravno in finančno pravo),</w:t>
      </w:r>
    </w:p>
    <w:p w:rsidR="00C5005F" w:rsidRPr="00C5005F" w:rsidRDefault="00C5005F" w:rsidP="00C5005F">
      <w:pPr>
        <w:pStyle w:val="Odstavekseznama"/>
        <w:numPr>
          <w:ilvl w:val="0"/>
          <w:numId w:val="17"/>
        </w:numPr>
        <w:spacing w:line="264" w:lineRule="auto"/>
        <w:jc w:val="both"/>
        <w:rPr>
          <w:rFonts w:eastAsia="Calibri"/>
        </w:rPr>
      </w:pPr>
      <w:r w:rsidRPr="00C5005F">
        <w:rPr>
          <w:rFonts w:eastAsia="Calibri"/>
        </w:rPr>
        <w:t>izr. dr. Aleš Ferčič (predstavnik Katedre za evropsko in mednarodno pravo ter mednarodne odnose)</w:t>
      </w:r>
    </w:p>
    <w:p w:rsidR="00C5005F" w:rsidRPr="00C5005F" w:rsidRDefault="00C5005F" w:rsidP="00C5005F">
      <w:pPr>
        <w:pStyle w:val="Odstavekseznama"/>
        <w:numPr>
          <w:ilvl w:val="0"/>
          <w:numId w:val="17"/>
        </w:numPr>
        <w:spacing w:line="264" w:lineRule="auto"/>
        <w:jc w:val="both"/>
        <w:rPr>
          <w:rFonts w:eastAsia="Calibri"/>
        </w:rPr>
      </w:pPr>
      <w:r w:rsidRPr="00C5005F">
        <w:rPr>
          <w:rFonts w:eastAsia="Calibri"/>
        </w:rPr>
        <w:t>doc. dr. Miha Šepec (predstavnik Katedre za kazensko pravo),</w:t>
      </w:r>
    </w:p>
    <w:p w:rsidR="00C5005F" w:rsidRPr="00C5005F" w:rsidRDefault="00C5005F" w:rsidP="00C5005F">
      <w:pPr>
        <w:pStyle w:val="Odstavekseznama"/>
        <w:numPr>
          <w:ilvl w:val="0"/>
          <w:numId w:val="17"/>
        </w:numPr>
        <w:spacing w:line="264" w:lineRule="auto"/>
        <w:jc w:val="both"/>
        <w:rPr>
          <w:rFonts w:eastAsia="Calibri"/>
        </w:rPr>
      </w:pPr>
      <w:r w:rsidRPr="00C5005F">
        <w:rPr>
          <w:rFonts w:eastAsia="Calibri"/>
        </w:rPr>
        <w:t>Leon Brulc (predstavnik študentov)</w:t>
      </w:r>
    </w:p>
    <w:p w:rsidR="00C5005F" w:rsidRPr="00C5005F" w:rsidRDefault="00C5005F" w:rsidP="00C5005F">
      <w:pPr>
        <w:pStyle w:val="Odstavekseznama"/>
        <w:numPr>
          <w:ilvl w:val="0"/>
          <w:numId w:val="17"/>
        </w:numPr>
        <w:spacing w:line="264" w:lineRule="auto"/>
        <w:jc w:val="both"/>
        <w:rPr>
          <w:rFonts w:eastAsia="Calibri"/>
        </w:rPr>
      </w:pPr>
      <w:r w:rsidRPr="00C5005F">
        <w:rPr>
          <w:rFonts w:eastAsia="Calibri"/>
        </w:rPr>
        <w:t>mag. Natalija Orešek, bibliotekarka.</w:t>
      </w:r>
    </w:p>
    <w:p w:rsidR="00C5005F" w:rsidRDefault="00C5005F" w:rsidP="00C5005F">
      <w:r>
        <w:lastRenderedPageBreak/>
        <w:t xml:space="preserve">Mandatna doba članov </w:t>
      </w:r>
      <w:r w:rsidR="00640991">
        <w:t>KO PFUM</w:t>
      </w:r>
      <w:r>
        <w:t xml:space="preserve"> </w:t>
      </w:r>
    </w:p>
    <w:p w:rsidR="00C5005F" w:rsidRDefault="00C5005F" w:rsidP="00C5005F">
      <w:pPr>
        <w:pStyle w:val="Odstavekseznama"/>
        <w:numPr>
          <w:ilvl w:val="0"/>
          <w:numId w:val="18"/>
        </w:numPr>
      </w:pPr>
      <w:r>
        <w:t xml:space="preserve">iz vrst profesorjev traja 4 leta, in sicer od 11. 1. 2019 do 10. 1. 2023; </w:t>
      </w:r>
    </w:p>
    <w:p w:rsidR="00C5005F" w:rsidRDefault="00C5005F" w:rsidP="00C5005F">
      <w:pPr>
        <w:pStyle w:val="Odstavekseznama"/>
        <w:numPr>
          <w:ilvl w:val="0"/>
          <w:numId w:val="18"/>
        </w:numPr>
      </w:pPr>
      <w:r>
        <w:t>iz vrst študentov traja 1 leto, in sicer od 5. 12. 2018 do 4. 12. 2019.</w:t>
      </w:r>
    </w:p>
    <w:p w:rsidR="00C5005F" w:rsidRDefault="00C5005F" w:rsidP="00C5005F">
      <w:pPr>
        <w:spacing w:after="0" w:line="264" w:lineRule="auto"/>
        <w:jc w:val="both"/>
        <w:rPr>
          <w:rFonts w:eastAsia="Calibri"/>
        </w:rPr>
      </w:pPr>
    </w:p>
    <w:p w:rsidR="00281100" w:rsidRDefault="00281100" w:rsidP="00281100">
      <w:pPr>
        <w:spacing w:after="0" w:line="264" w:lineRule="auto"/>
        <w:jc w:val="both"/>
        <w:rPr>
          <w:rFonts w:eastAsia="Calibri"/>
        </w:rPr>
      </w:pPr>
      <w:r w:rsidRPr="00281100">
        <w:rPr>
          <w:rFonts w:eastAsia="Calibri"/>
        </w:rPr>
        <w:t>Po preg</w:t>
      </w:r>
      <w:r w:rsidR="007F120B">
        <w:rPr>
          <w:rFonts w:eastAsia="Calibri"/>
        </w:rPr>
        <w:t>ledu prisotnosti in opravičilih</w:t>
      </w:r>
      <w:r w:rsidRPr="00281100">
        <w:rPr>
          <w:rFonts w:eastAsia="Calibri"/>
        </w:rPr>
        <w:t xml:space="preserve"> so imenovani člani KO </w:t>
      </w:r>
      <w:r w:rsidR="00640991">
        <w:rPr>
          <w:rFonts w:eastAsia="Calibri"/>
        </w:rPr>
        <w:t>UM</w:t>
      </w:r>
      <w:r w:rsidR="00594F61">
        <w:rPr>
          <w:rFonts w:eastAsia="Calibri"/>
        </w:rPr>
        <w:t>PF</w:t>
      </w:r>
      <w:r w:rsidR="00640991">
        <w:rPr>
          <w:rFonts w:eastAsia="Calibri"/>
        </w:rPr>
        <w:t xml:space="preserve"> </w:t>
      </w:r>
      <w:r w:rsidRPr="00281100">
        <w:rPr>
          <w:rFonts w:eastAsia="Calibri"/>
        </w:rPr>
        <w:t>ugotovili, da so sklepčni.</w:t>
      </w:r>
    </w:p>
    <w:p w:rsidR="00281100" w:rsidRPr="0023207C" w:rsidRDefault="00281100" w:rsidP="0023207C">
      <w:pPr>
        <w:pStyle w:val="Odstavekseznama"/>
        <w:numPr>
          <w:ilvl w:val="0"/>
          <w:numId w:val="22"/>
        </w:numPr>
        <w:spacing w:line="264" w:lineRule="auto"/>
        <w:jc w:val="both"/>
        <w:rPr>
          <w:rFonts w:eastAsia="Calibri"/>
          <w:b/>
        </w:rPr>
      </w:pPr>
      <w:r w:rsidRPr="0023207C">
        <w:rPr>
          <w:rFonts w:eastAsia="Calibri"/>
          <w:b/>
        </w:rPr>
        <w:t>Sklep</w:t>
      </w:r>
      <w:r w:rsidR="00CB671C" w:rsidRPr="0023207C">
        <w:rPr>
          <w:rFonts w:eastAsia="Calibri"/>
          <w:b/>
        </w:rPr>
        <w:t>čnost</w:t>
      </w:r>
      <w:r w:rsidRPr="0023207C">
        <w:rPr>
          <w:rFonts w:eastAsia="Calibri"/>
          <w:b/>
        </w:rPr>
        <w:t xml:space="preserve"> so soglasno </w:t>
      </w:r>
      <w:r w:rsidR="00CB671C" w:rsidRPr="0023207C">
        <w:rPr>
          <w:rFonts w:eastAsia="Calibri"/>
          <w:b/>
        </w:rPr>
        <w:t xml:space="preserve">potrdili </w:t>
      </w:r>
      <w:r w:rsidRPr="0023207C">
        <w:rPr>
          <w:rFonts w:eastAsia="Calibri"/>
          <w:b/>
        </w:rPr>
        <w:t>vsi prisotn</w:t>
      </w:r>
      <w:r w:rsidR="00640991" w:rsidRPr="0023207C">
        <w:rPr>
          <w:rFonts w:eastAsia="Calibri"/>
          <w:b/>
        </w:rPr>
        <w:t>i člani</w:t>
      </w:r>
      <w:r w:rsidR="0009374A" w:rsidRPr="0023207C">
        <w:rPr>
          <w:rFonts w:eastAsia="Calibri"/>
          <w:b/>
        </w:rPr>
        <w:t xml:space="preserve"> </w:t>
      </w:r>
      <w:r w:rsidR="00640991" w:rsidRPr="0023207C">
        <w:rPr>
          <w:rFonts w:eastAsia="Calibri"/>
          <w:b/>
        </w:rPr>
        <w:t>KO UM</w:t>
      </w:r>
      <w:r w:rsidR="00594F61" w:rsidRPr="0023207C">
        <w:rPr>
          <w:rFonts w:eastAsia="Calibri"/>
          <w:b/>
        </w:rPr>
        <w:t>PF</w:t>
      </w:r>
      <w:r w:rsidR="0032421E" w:rsidRPr="0023207C">
        <w:rPr>
          <w:rFonts w:eastAsia="Calibri"/>
          <w:b/>
        </w:rPr>
        <w:t>.</w:t>
      </w:r>
    </w:p>
    <w:p w:rsidR="00281100" w:rsidRDefault="00281100" w:rsidP="00281100">
      <w:pPr>
        <w:spacing w:after="0" w:line="264" w:lineRule="auto"/>
        <w:jc w:val="both"/>
        <w:rPr>
          <w:rFonts w:eastAsia="Calibri"/>
        </w:rPr>
      </w:pPr>
    </w:p>
    <w:p w:rsidR="00640991" w:rsidRPr="000772CB" w:rsidRDefault="00640991" w:rsidP="00640991">
      <w:pPr>
        <w:spacing w:after="0" w:line="264" w:lineRule="auto"/>
        <w:jc w:val="both"/>
        <w:rPr>
          <w:rFonts w:eastAsia="Calibri"/>
          <w:i/>
        </w:rPr>
      </w:pPr>
      <w:r w:rsidRPr="000772CB">
        <w:rPr>
          <w:rFonts w:eastAsia="Calibri"/>
          <w:i/>
        </w:rPr>
        <w:t xml:space="preserve">Ad2.: </w:t>
      </w:r>
      <w:r w:rsidRPr="000772CB">
        <w:rPr>
          <w:i/>
          <w:color w:val="000000"/>
        </w:rPr>
        <w:t>Konstituiranje novega KO in volitev vodstva KO, novo vodstvo prevzame vodenje seje</w:t>
      </w:r>
    </w:p>
    <w:p w:rsidR="00640991" w:rsidRDefault="00640991" w:rsidP="00640991">
      <w:pPr>
        <w:spacing w:after="0" w:line="264" w:lineRule="auto"/>
        <w:jc w:val="both"/>
        <w:rPr>
          <w:rFonts w:eastAsia="Calibri"/>
        </w:rPr>
      </w:pPr>
      <w:r w:rsidRPr="00281100">
        <w:rPr>
          <w:rFonts w:eastAsia="Calibri"/>
        </w:rPr>
        <w:t xml:space="preserve">Prisotni so </w:t>
      </w:r>
      <w:r>
        <w:rPr>
          <w:rFonts w:eastAsia="Calibri"/>
        </w:rPr>
        <w:t xml:space="preserve">izmed članov </w:t>
      </w:r>
      <w:r w:rsidRPr="00640991">
        <w:rPr>
          <w:rFonts w:eastAsia="Calibri"/>
        </w:rPr>
        <w:t xml:space="preserve">Knjižničnega odbora Knjižnice Mirka Ilešiča Pravne fakultete Univerze v Mariboru </w:t>
      </w:r>
      <w:r>
        <w:rPr>
          <w:rFonts w:eastAsia="Calibri"/>
        </w:rPr>
        <w:t xml:space="preserve">s </w:t>
      </w:r>
      <w:r w:rsidR="009B273E">
        <w:rPr>
          <w:rFonts w:eastAsia="Calibri"/>
        </w:rPr>
        <w:t>7 glasovi ZA in 0</w:t>
      </w:r>
      <w:r>
        <w:rPr>
          <w:rFonts w:eastAsia="Calibri"/>
        </w:rPr>
        <w:t xml:space="preserve"> glasovi PROTI izvolili novega predsednika/predsednico KO UM</w:t>
      </w:r>
      <w:r w:rsidR="00594F61">
        <w:rPr>
          <w:rFonts w:eastAsia="Calibri"/>
        </w:rPr>
        <w:t>PF</w:t>
      </w:r>
      <w:r>
        <w:rPr>
          <w:rFonts w:eastAsia="Calibri"/>
        </w:rPr>
        <w:t xml:space="preserve">, ki postane dr. </w:t>
      </w:r>
      <w:r w:rsidR="009B273E">
        <w:rPr>
          <w:rFonts w:eastAsia="Calibri"/>
        </w:rPr>
        <w:t>Tjaša Ivanc.</w:t>
      </w:r>
    </w:p>
    <w:p w:rsidR="00640991" w:rsidRPr="0023207C" w:rsidRDefault="00640991" w:rsidP="0023207C">
      <w:pPr>
        <w:pStyle w:val="Odstavekseznama"/>
        <w:numPr>
          <w:ilvl w:val="0"/>
          <w:numId w:val="22"/>
        </w:numPr>
        <w:spacing w:line="264" w:lineRule="auto"/>
        <w:ind w:left="1276" w:hanging="1276"/>
        <w:jc w:val="both"/>
        <w:rPr>
          <w:rFonts w:eastAsia="Calibri"/>
          <w:b/>
        </w:rPr>
      </w:pPr>
      <w:r w:rsidRPr="0023207C">
        <w:rPr>
          <w:rFonts w:eastAsia="Calibri"/>
          <w:b/>
        </w:rPr>
        <w:t>Nov</w:t>
      </w:r>
      <w:r w:rsidR="009B273E" w:rsidRPr="0023207C">
        <w:rPr>
          <w:rFonts w:eastAsia="Calibri"/>
          <w:b/>
        </w:rPr>
        <w:t xml:space="preserve">a </w:t>
      </w:r>
      <w:r w:rsidRPr="0023207C">
        <w:rPr>
          <w:rFonts w:eastAsia="Calibri"/>
          <w:b/>
        </w:rPr>
        <w:t xml:space="preserve">predsednica Knjižničnega odbora Knjižnice Mirka Ilešiča Pravne fakultete Univerze v Mariboru je dr. </w:t>
      </w:r>
      <w:r w:rsidR="009B273E" w:rsidRPr="0023207C">
        <w:rPr>
          <w:rFonts w:eastAsia="Calibri"/>
          <w:b/>
        </w:rPr>
        <w:t>Tjaša Ivanc.</w:t>
      </w:r>
    </w:p>
    <w:p w:rsidR="00640991" w:rsidRPr="00281100" w:rsidRDefault="00640991" w:rsidP="00281100">
      <w:pPr>
        <w:spacing w:after="0" w:line="264" w:lineRule="auto"/>
        <w:jc w:val="both"/>
        <w:rPr>
          <w:rFonts w:eastAsia="Calibri"/>
        </w:rPr>
      </w:pPr>
    </w:p>
    <w:p w:rsidR="00281100" w:rsidRPr="004A2164" w:rsidRDefault="00640991" w:rsidP="003230E7">
      <w:pPr>
        <w:spacing w:after="0" w:line="264" w:lineRule="auto"/>
        <w:jc w:val="both"/>
        <w:rPr>
          <w:rFonts w:eastAsia="Calibri"/>
          <w:i/>
        </w:rPr>
      </w:pPr>
      <w:r w:rsidRPr="004A2164">
        <w:rPr>
          <w:rFonts w:eastAsia="Calibri"/>
          <w:i/>
        </w:rPr>
        <w:t>Ad3</w:t>
      </w:r>
      <w:r w:rsidR="00281100" w:rsidRPr="004A2164">
        <w:rPr>
          <w:rFonts w:eastAsia="Calibri"/>
          <w:i/>
        </w:rPr>
        <w:t>.</w:t>
      </w:r>
      <w:r w:rsidR="003230E7" w:rsidRPr="004A2164">
        <w:rPr>
          <w:rFonts w:eastAsia="Calibri"/>
          <w:i/>
        </w:rPr>
        <w:t>: Pregled zapisnika zadnje</w:t>
      </w:r>
      <w:r w:rsidR="00D206E6" w:rsidRPr="004A2164">
        <w:rPr>
          <w:rFonts w:eastAsia="Calibri"/>
          <w:i/>
        </w:rPr>
        <w:t xml:space="preserve"> redne</w:t>
      </w:r>
      <w:r w:rsidRPr="004A2164">
        <w:rPr>
          <w:rFonts w:eastAsia="Calibri"/>
          <w:i/>
        </w:rPr>
        <w:t>, 5.</w:t>
      </w:r>
      <w:r w:rsidR="003230E7" w:rsidRPr="004A2164">
        <w:rPr>
          <w:rFonts w:eastAsia="Calibri"/>
          <w:i/>
        </w:rPr>
        <w:t xml:space="preserve"> seje</w:t>
      </w:r>
      <w:r w:rsidRPr="004A2164">
        <w:rPr>
          <w:rFonts w:eastAsia="Calibri"/>
          <w:i/>
        </w:rPr>
        <w:t xml:space="preserve"> KO PFUM</w:t>
      </w:r>
      <w:r w:rsidR="00D206E6" w:rsidRPr="004A2164">
        <w:rPr>
          <w:rFonts w:eastAsia="Calibri"/>
          <w:i/>
        </w:rPr>
        <w:t>,</w:t>
      </w:r>
      <w:r w:rsidRPr="004A2164">
        <w:rPr>
          <w:rFonts w:eastAsia="Calibri"/>
          <w:i/>
        </w:rPr>
        <w:t xml:space="preserve"> in 1. korespondenčne seje KO UM</w:t>
      </w:r>
      <w:r w:rsidR="00594F61" w:rsidRPr="004A2164">
        <w:rPr>
          <w:rFonts w:eastAsia="Calibri"/>
          <w:i/>
        </w:rPr>
        <w:t>PF</w:t>
      </w:r>
      <w:r w:rsidRPr="004A2164">
        <w:rPr>
          <w:rFonts w:eastAsia="Calibri"/>
          <w:i/>
        </w:rPr>
        <w:t>.</w:t>
      </w:r>
    </w:p>
    <w:p w:rsidR="00281100" w:rsidRPr="00281100" w:rsidRDefault="00281100" w:rsidP="00281100">
      <w:pPr>
        <w:spacing w:after="0" w:line="264" w:lineRule="auto"/>
        <w:jc w:val="both"/>
        <w:rPr>
          <w:rFonts w:cs="Arial"/>
          <w:b/>
          <w:color w:val="000000"/>
          <w:lang w:eastAsia="sl-SI"/>
        </w:rPr>
      </w:pPr>
      <w:r w:rsidRPr="00281100">
        <w:rPr>
          <w:rFonts w:eastAsia="Calibri"/>
        </w:rPr>
        <w:t xml:space="preserve">Prisotni so se seznanili z </w:t>
      </w:r>
      <w:r w:rsidR="00640991">
        <w:rPr>
          <w:rFonts w:eastAsia="Calibri"/>
        </w:rPr>
        <w:t xml:space="preserve">obema </w:t>
      </w:r>
      <w:r w:rsidRPr="00281100">
        <w:rPr>
          <w:rFonts w:eastAsia="Calibri"/>
        </w:rPr>
        <w:t>zapisnikom</w:t>
      </w:r>
      <w:r w:rsidR="00640991">
        <w:rPr>
          <w:rFonts w:eastAsia="Calibri"/>
        </w:rPr>
        <w:t>a</w:t>
      </w:r>
      <w:r w:rsidRPr="00281100">
        <w:rPr>
          <w:rFonts w:eastAsia="Calibri"/>
        </w:rPr>
        <w:t>.</w:t>
      </w:r>
    </w:p>
    <w:p w:rsidR="00281100" w:rsidRPr="0023207C" w:rsidRDefault="00281100" w:rsidP="0023207C">
      <w:pPr>
        <w:pStyle w:val="Odstavekseznama"/>
        <w:numPr>
          <w:ilvl w:val="0"/>
          <w:numId w:val="22"/>
        </w:numPr>
        <w:spacing w:line="264" w:lineRule="auto"/>
        <w:ind w:left="1276" w:hanging="1276"/>
        <w:jc w:val="both"/>
        <w:rPr>
          <w:rFonts w:eastAsia="Calibri"/>
          <w:b/>
        </w:rPr>
      </w:pPr>
      <w:r w:rsidRPr="0023207C">
        <w:rPr>
          <w:rFonts w:eastAsia="Calibri"/>
          <w:b/>
        </w:rPr>
        <w:t>Na zapisnik</w:t>
      </w:r>
      <w:r w:rsidR="00640991" w:rsidRPr="0023207C">
        <w:rPr>
          <w:rFonts w:eastAsia="Calibri"/>
          <w:b/>
        </w:rPr>
        <w:t>a</w:t>
      </w:r>
      <w:r w:rsidRPr="0023207C">
        <w:rPr>
          <w:rFonts w:eastAsia="Calibri"/>
          <w:b/>
        </w:rPr>
        <w:t xml:space="preserve"> ni bilo pripomb.</w:t>
      </w:r>
    </w:p>
    <w:p w:rsidR="00281100" w:rsidRPr="00281100" w:rsidRDefault="00281100" w:rsidP="00281100">
      <w:pPr>
        <w:spacing w:after="0" w:line="264" w:lineRule="auto"/>
        <w:jc w:val="both"/>
        <w:rPr>
          <w:rFonts w:eastAsia="Calibri"/>
        </w:rPr>
      </w:pPr>
    </w:p>
    <w:p w:rsidR="0023077C" w:rsidRPr="00674125" w:rsidRDefault="00594F61" w:rsidP="0023077C">
      <w:pPr>
        <w:spacing w:after="0"/>
        <w:jc w:val="both"/>
        <w:rPr>
          <w:rFonts w:eastAsia="Calibri"/>
          <w:i/>
        </w:rPr>
      </w:pPr>
      <w:r w:rsidRPr="00674125">
        <w:rPr>
          <w:rFonts w:eastAsia="Calibri"/>
          <w:i/>
        </w:rPr>
        <w:t>Ad4</w:t>
      </w:r>
      <w:r w:rsidR="00281100" w:rsidRPr="00674125">
        <w:rPr>
          <w:rFonts w:eastAsia="Calibri"/>
          <w:i/>
        </w:rPr>
        <w:t>.</w:t>
      </w:r>
      <w:r w:rsidR="003F728B" w:rsidRPr="00674125">
        <w:rPr>
          <w:rFonts w:eastAsia="Calibri"/>
          <w:i/>
        </w:rPr>
        <w:t xml:space="preserve"> </w:t>
      </w:r>
      <w:r w:rsidRPr="00674125">
        <w:rPr>
          <w:rFonts w:eastAsia="Calibri"/>
          <w:i/>
        </w:rPr>
        <w:t>Izbor dobavitelja revij za knjižnico (javno naročilo revij za leto 2019) in prehod na model e-only (Sage)</w:t>
      </w:r>
    </w:p>
    <w:p w:rsidR="00594F61" w:rsidRPr="00594F61" w:rsidRDefault="00594F61" w:rsidP="00594F61">
      <w:pPr>
        <w:spacing w:after="0"/>
        <w:jc w:val="both"/>
        <w:rPr>
          <w:rFonts w:eastAsia="Calibri"/>
        </w:rPr>
      </w:pPr>
      <w:r w:rsidRPr="00594F61">
        <w:rPr>
          <w:rFonts w:eastAsia="Calibri"/>
        </w:rPr>
        <w:t>Na naš poziv, da nam pripravijo ponudbo za naročilo tujih serijskih publikacij za leto 2019, so se odzvali 4 ponudniki:</w:t>
      </w:r>
    </w:p>
    <w:p w:rsidR="00594F61" w:rsidRPr="00594F61" w:rsidRDefault="00594F61" w:rsidP="00594F61">
      <w:pPr>
        <w:spacing w:after="0"/>
        <w:jc w:val="both"/>
        <w:rPr>
          <w:rFonts w:eastAsia="Calibri"/>
        </w:rPr>
      </w:pPr>
      <w:r w:rsidRPr="00594F61">
        <w:rPr>
          <w:rFonts w:eastAsia="Calibri"/>
        </w:rPr>
        <w:t>-</w:t>
      </w:r>
      <w:r w:rsidRPr="00594F61">
        <w:rPr>
          <w:rFonts w:eastAsia="Calibri"/>
        </w:rPr>
        <w:tab/>
        <w:t>Mladinska knjiga trgovina, Ljubljana (predstavnik: Mojca Košir) - cena: 12.206€+9,5%DDV=13.365</w:t>
      </w:r>
      <w:r w:rsidR="00CD574A">
        <w:rPr>
          <w:rFonts w:eastAsia="Calibri"/>
        </w:rPr>
        <w:t>€</w:t>
      </w:r>
    </w:p>
    <w:p w:rsidR="00594F61" w:rsidRPr="00594F61" w:rsidRDefault="00594F61" w:rsidP="00594F61">
      <w:pPr>
        <w:spacing w:after="0"/>
        <w:jc w:val="both"/>
        <w:rPr>
          <w:rFonts w:eastAsia="Calibri"/>
        </w:rPr>
      </w:pPr>
      <w:r w:rsidRPr="00594F61">
        <w:rPr>
          <w:rFonts w:eastAsia="Calibri"/>
        </w:rPr>
        <w:t>-</w:t>
      </w:r>
      <w:r w:rsidRPr="00594F61">
        <w:rPr>
          <w:rFonts w:eastAsia="Calibri"/>
        </w:rPr>
        <w:tab/>
        <w:t>Missing Link, Bremen, Nemčija (predstavnik v NEM: Alan Draganović) – cena: 12.475€+DDV?</w:t>
      </w:r>
    </w:p>
    <w:p w:rsidR="00594F61" w:rsidRPr="00594F61" w:rsidRDefault="00594F61" w:rsidP="00594F61">
      <w:pPr>
        <w:spacing w:after="0"/>
        <w:jc w:val="both"/>
        <w:rPr>
          <w:rFonts w:eastAsia="Calibri"/>
        </w:rPr>
      </w:pPr>
      <w:r w:rsidRPr="00594F61">
        <w:rPr>
          <w:rFonts w:eastAsia="Calibri"/>
        </w:rPr>
        <w:t>-</w:t>
      </w:r>
      <w:r w:rsidRPr="00594F61">
        <w:rPr>
          <w:rFonts w:eastAsia="Calibri"/>
        </w:rPr>
        <w:tab/>
        <w:t>EBSCO Information Service, Berlin, Nemčija (predstavnik v SLO: Renata Miklavčič) – cena: 12.823,76€+9,5%DDV=13.587,90€</w:t>
      </w:r>
    </w:p>
    <w:p w:rsidR="00594F61" w:rsidRPr="00594F61" w:rsidRDefault="00594F61" w:rsidP="00594F61">
      <w:pPr>
        <w:spacing w:after="0"/>
        <w:jc w:val="both"/>
        <w:rPr>
          <w:rFonts w:eastAsia="Calibri"/>
        </w:rPr>
      </w:pPr>
      <w:r w:rsidRPr="00594F61">
        <w:rPr>
          <w:rFonts w:eastAsia="Calibri"/>
        </w:rPr>
        <w:t>-</w:t>
      </w:r>
      <w:r w:rsidRPr="00594F61">
        <w:rPr>
          <w:rFonts w:eastAsia="Calibri"/>
        </w:rPr>
        <w:tab/>
        <w:t>DZS, Založništvo in trgovina, d.d. (predstavnik: Ana Krašovec) – cena: 13.212,65€+9,5%DDV=14.467,85€</w:t>
      </w:r>
    </w:p>
    <w:p w:rsidR="00594F61" w:rsidRPr="00594F61" w:rsidRDefault="00594F61" w:rsidP="00594F61">
      <w:pPr>
        <w:spacing w:after="0"/>
        <w:jc w:val="both"/>
        <w:rPr>
          <w:rFonts w:eastAsia="Calibri"/>
        </w:rPr>
      </w:pPr>
    </w:p>
    <w:p w:rsidR="00CD574A" w:rsidRDefault="00CD574A" w:rsidP="00CD574A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S strani UKM je bil podan predlog, da se pri revijah</w:t>
      </w:r>
    </w:p>
    <w:p w:rsidR="00CD574A" w:rsidRPr="007E5A96" w:rsidRDefault="00CD574A" w:rsidP="00CD574A">
      <w:pPr>
        <w:spacing w:after="0" w:line="264" w:lineRule="auto"/>
        <w:jc w:val="both"/>
        <w:rPr>
          <w:rFonts w:eastAsia="Calibri"/>
        </w:rPr>
      </w:pPr>
      <w:r w:rsidRPr="007E5A96">
        <w:rPr>
          <w:rFonts w:eastAsia="Calibri"/>
        </w:rPr>
        <w:t>-</w:t>
      </w:r>
      <w:r w:rsidRPr="007E5A96">
        <w:rPr>
          <w:rFonts w:eastAsia="Calibri"/>
        </w:rPr>
        <w:tab/>
        <w:t>EUROPEAN JOURNAL OF SOCIAL SECURITY: 485.97€+9,5% DDV=532,14€</w:t>
      </w:r>
    </w:p>
    <w:p w:rsidR="00CD574A" w:rsidRDefault="00CD574A" w:rsidP="00CD574A">
      <w:pPr>
        <w:spacing w:after="0" w:line="264" w:lineRule="auto"/>
        <w:jc w:val="both"/>
        <w:rPr>
          <w:rFonts w:eastAsia="Calibri"/>
        </w:rPr>
      </w:pPr>
      <w:r w:rsidRPr="007E5A96">
        <w:rPr>
          <w:rFonts w:eastAsia="Calibri"/>
        </w:rPr>
        <w:t>-</w:t>
      </w:r>
      <w:r w:rsidRPr="007E5A96">
        <w:rPr>
          <w:rFonts w:eastAsia="Calibri"/>
        </w:rPr>
        <w:tab/>
        <w:t xml:space="preserve">EUROPEAN LABOUR LAW JOURNAL: 470,62€+9,5% DDV=515,33€ </w:t>
      </w:r>
    </w:p>
    <w:p w:rsidR="00CD574A" w:rsidRDefault="00CD574A" w:rsidP="00CD574A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ki sta na seznamu </w:t>
      </w:r>
      <w:r w:rsidRPr="007E5A96">
        <w:rPr>
          <w:rFonts w:eastAsia="Calibri"/>
        </w:rPr>
        <w:t>UM SOFINANCIRANJE</w:t>
      </w:r>
      <w:r>
        <w:rPr>
          <w:rFonts w:eastAsia="Calibri"/>
        </w:rPr>
        <w:t>, pri naročilih za leto 2020 preide na t.i. model e-only</w:t>
      </w:r>
      <w:r w:rsidRPr="007E5A96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CD574A" w:rsidRDefault="00CD574A" w:rsidP="00CD574A">
      <w:pPr>
        <w:spacing w:after="0"/>
        <w:jc w:val="both"/>
        <w:rPr>
          <w:rFonts w:eastAsia="Calibri"/>
        </w:rPr>
      </w:pPr>
    </w:p>
    <w:p w:rsidR="003F728B" w:rsidRDefault="00CD574A" w:rsidP="00CD574A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S strani CTKja, ki je nosilec konzorcija, je bil podan odgovor, da »…na poslovni model e-only ne rabijo preiti vse članice UM, temveč lahko vsaka članica sama odloči, kateri model bo imela« in da dostop do arhiva revij, ki smo jih imeli naročene </w:t>
      </w:r>
      <w:r w:rsidR="003F728B">
        <w:rPr>
          <w:rFonts w:eastAsia="Calibri"/>
        </w:rPr>
        <w:t xml:space="preserve">le </w:t>
      </w:r>
      <w:r>
        <w:rPr>
          <w:rFonts w:eastAsia="Calibri"/>
        </w:rPr>
        <w:t>v tiskani izdaji</w:t>
      </w:r>
      <w:r w:rsidR="003F728B">
        <w:rPr>
          <w:rFonts w:eastAsia="Calibri"/>
        </w:rPr>
        <w:t>, ni e-arhiva, e-arhiv pa bo »za vedno« ostal le za tiste revije, ki jih naročamo v e-obliki.</w:t>
      </w:r>
    </w:p>
    <w:p w:rsidR="003F728B" w:rsidRDefault="003F728B" w:rsidP="00CD574A">
      <w:pPr>
        <w:spacing w:after="0"/>
        <w:jc w:val="both"/>
        <w:rPr>
          <w:rFonts w:eastAsia="Calibri"/>
        </w:rPr>
      </w:pPr>
    </w:p>
    <w:p w:rsidR="00CD574A" w:rsidRPr="0023207C" w:rsidRDefault="005A18EF" w:rsidP="0023207C">
      <w:pPr>
        <w:pStyle w:val="Odstavekseznama"/>
        <w:numPr>
          <w:ilvl w:val="0"/>
          <w:numId w:val="22"/>
        </w:numPr>
        <w:spacing w:line="264" w:lineRule="auto"/>
        <w:ind w:left="1276" w:hanging="1276"/>
        <w:jc w:val="both"/>
        <w:rPr>
          <w:rFonts w:eastAsia="Calibri"/>
          <w:b/>
        </w:rPr>
      </w:pPr>
      <w:r w:rsidRPr="0023207C">
        <w:rPr>
          <w:rFonts w:eastAsia="Calibri"/>
          <w:b/>
        </w:rPr>
        <w:t xml:space="preserve">Knjižnični odbor </w:t>
      </w:r>
      <w:r w:rsidR="00CD574A" w:rsidRPr="0023207C">
        <w:rPr>
          <w:rFonts w:eastAsia="Calibri"/>
          <w:b/>
        </w:rPr>
        <w:t xml:space="preserve">se je seznanil, da je dobavitelj revij za Knjižnico Mirka Ilešiča Pravne fakultete Maribor </w:t>
      </w:r>
      <w:r w:rsidR="009B15C1">
        <w:rPr>
          <w:rFonts w:eastAsia="Calibri"/>
          <w:b/>
        </w:rPr>
        <w:t xml:space="preserve">za leto 2019 </w:t>
      </w:r>
      <w:r w:rsidR="00CD574A" w:rsidRPr="0023207C">
        <w:rPr>
          <w:rFonts w:eastAsia="Calibri"/>
          <w:b/>
        </w:rPr>
        <w:t>Mladinska knjiga trgovina v višini 13.365€.</w:t>
      </w:r>
    </w:p>
    <w:p w:rsidR="0023077C" w:rsidRPr="0023207C" w:rsidRDefault="00CD574A" w:rsidP="0023207C">
      <w:pPr>
        <w:pStyle w:val="Odstavekseznama"/>
        <w:spacing w:line="264" w:lineRule="auto"/>
        <w:ind w:left="1276"/>
        <w:jc w:val="both"/>
        <w:rPr>
          <w:rFonts w:eastAsia="Calibri"/>
          <w:b/>
        </w:rPr>
      </w:pPr>
      <w:r w:rsidRPr="0023207C">
        <w:rPr>
          <w:rFonts w:eastAsia="Calibri"/>
          <w:b/>
        </w:rPr>
        <w:t>Knjižnični odbor se strinja, da se pri revijah založn</w:t>
      </w:r>
      <w:r w:rsidR="009B273E" w:rsidRPr="0023207C">
        <w:rPr>
          <w:rFonts w:eastAsia="Calibri"/>
          <w:b/>
        </w:rPr>
        <w:t xml:space="preserve">ika Sage preide na model e-only, a le v primeru, da bodo dostopne </w:t>
      </w:r>
      <w:r w:rsidR="0023207C">
        <w:rPr>
          <w:rFonts w:eastAsia="Calibri"/>
          <w:b/>
        </w:rPr>
        <w:t xml:space="preserve">aktualne številke </w:t>
      </w:r>
      <w:r w:rsidR="009B273E" w:rsidRPr="0023207C">
        <w:rPr>
          <w:rFonts w:eastAsia="Calibri"/>
          <w:b/>
        </w:rPr>
        <w:t>ž</w:t>
      </w:r>
      <w:r w:rsidR="0023207C">
        <w:rPr>
          <w:rFonts w:eastAsia="Calibri"/>
          <w:b/>
        </w:rPr>
        <w:t>e naročenih</w:t>
      </w:r>
      <w:r w:rsidR="009B273E" w:rsidRPr="0023207C">
        <w:rPr>
          <w:rFonts w:eastAsia="Calibri"/>
          <w:b/>
        </w:rPr>
        <w:t xml:space="preserve"> </w:t>
      </w:r>
      <w:r w:rsidR="0023207C">
        <w:rPr>
          <w:rFonts w:eastAsia="Calibri"/>
          <w:b/>
        </w:rPr>
        <w:t>revij</w:t>
      </w:r>
      <w:r w:rsidR="009B273E" w:rsidRPr="0023207C">
        <w:rPr>
          <w:rFonts w:eastAsia="Calibri"/>
          <w:b/>
        </w:rPr>
        <w:t>.</w:t>
      </w:r>
    </w:p>
    <w:p w:rsidR="00CD574A" w:rsidRDefault="00CD574A" w:rsidP="00281100">
      <w:pPr>
        <w:spacing w:after="0"/>
        <w:jc w:val="both"/>
        <w:rPr>
          <w:rFonts w:eastAsia="Calibri"/>
          <w:i/>
        </w:rPr>
      </w:pPr>
    </w:p>
    <w:p w:rsidR="003F728B" w:rsidRPr="00674125" w:rsidRDefault="003F728B" w:rsidP="0023207C">
      <w:pPr>
        <w:rPr>
          <w:i/>
        </w:rPr>
      </w:pPr>
      <w:r w:rsidRPr="00674125">
        <w:rPr>
          <w:rFonts w:eastAsia="Calibri"/>
          <w:i/>
        </w:rPr>
        <w:t xml:space="preserve">Ad5. Naročnini na reviji Revus in Lex localis </w:t>
      </w:r>
    </w:p>
    <w:p w:rsidR="00350BC7" w:rsidRPr="0056517C" w:rsidRDefault="00350BC7" w:rsidP="00350BC7">
      <w:pPr>
        <w:spacing w:after="0"/>
        <w:jc w:val="both"/>
        <w:rPr>
          <w:rFonts w:eastAsia="Calibri"/>
        </w:rPr>
      </w:pPr>
      <w:r w:rsidRPr="0056517C">
        <w:rPr>
          <w:rFonts w:eastAsia="Calibri"/>
        </w:rPr>
        <w:t>Univerza v Mariboru, Pravna fakulteta je dne 9</w:t>
      </w:r>
      <w:r w:rsidR="0056517C" w:rsidRPr="0056517C">
        <w:rPr>
          <w:rFonts w:eastAsia="Calibri"/>
        </w:rPr>
        <w:t>.3</w:t>
      </w:r>
      <w:r w:rsidRPr="0056517C">
        <w:rPr>
          <w:rFonts w:eastAsia="Calibri"/>
        </w:rPr>
        <w:t xml:space="preserve">.2010 sklenila pogodbo o soizdajateljstvu za revijo LexLocalis (ISSN 1581-5374) v višini 3.600€/letnik. Na leto izzidejo po 4 številke (1 dvojna), v vsaki </w:t>
      </w:r>
      <w:r w:rsidR="0056517C" w:rsidRPr="0056517C">
        <w:rPr>
          <w:rFonts w:eastAsia="Calibri"/>
        </w:rPr>
        <w:t xml:space="preserve">je </w:t>
      </w:r>
      <w:r w:rsidRPr="0056517C">
        <w:rPr>
          <w:rFonts w:eastAsia="Calibri"/>
        </w:rPr>
        <w:t xml:space="preserve">po </w:t>
      </w:r>
      <w:r w:rsidR="0056517C" w:rsidRPr="0056517C">
        <w:rPr>
          <w:rFonts w:eastAsia="Calibri"/>
        </w:rPr>
        <w:t xml:space="preserve">(vsaj) </w:t>
      </w:r>
      <w:r w:rsidRPr="0056517C">
        <w:rPr>
          <w:rFonts w:eastAsia="Calibri"/>
        </w:rPr>
        <w:t>10 člankov. V knjižnici tiskane izvode redno dobivamo v nakladi 10 izvodov.</w:t>
      </w:r>
    </w:p>
    <w:p w:rsidR="00350BC7" w:rsidRPr="0056517C" w:rsidRDefault="00350BC7" w:rsidP="00350BC7">
      <w:pPr>
        <w:spacing w:after="0"/>
        <w:jc w:val="both"/>
        <w:rPr>
          <w:rFonts w:eastAsia="Calibri"/>
        </w:rPr>
      </w:pPr>
      <w:r w:rsidRPr="0056517C">
        <w:rPr>
          <w:rFonts w:eastAsia="Calibri"/>
        </w:rPr>
        <w:lastRenderedPageBreak/>
        <w:t>Pogodba velja 10 let (marec 2020).</w:t>
      </w:r>
    </w:p>
    <w:p w:rsidR="00350BC7" w:rsidRPr="0056517C" w:rsidRDefault="00350BC7" w:rsidP="00350BC7">
      <w:pPr>
        <w:spacing w:after="0"/>
        <w:jc w:val="both"/>
        <w:rPr>
          <w:rFonts w:eastAsia="Calibri"/>
        </w:rPr>
      </w:pPr>
      <w:r w:rsidRPr="0056517C">
        <w:rPr>
          <w:rFonts w:eastAsia="Calibri"/>
        </w:rPr>
        <w:t>Revija je vključena v 10 baz iz nabora ARRS, med drugim v baze SSCI, SCOPUS, IBZ.</w:t>
      </w:r>
    </w:p>
    <w:p w:rsidR="00350BC7" w:rsidRPr="0056517C" w:rsidRDefault="00350BC7" w:rsidP="00350BC7">
      <w:pPr>
        <w:spacing w:after="0"/>
        <w:jc w:val="both"/>
        <w:rPr>
          <w:rFonts w:eastAsia="Calibri"/>
        </w:rPr>
      </w:pPr>
    </w:p>
    <w:p w:rsidR="00CD574A" w:rsidRDefault="003F728B" w:rsidP="00350BC7">
      <w:pPr>
        <w:spacing w:after="0"/>
        <w:jc w:val="both"/>
        <w:rPr>
          <w:rFonts w:eastAsia="Calibri"/>
        </w:rPr>
      </w:pPr>
      <w:r w:rsidRPr="0056517C">
        <w:rPr>
          <w:rFonts w:eastAsia="Calibri"/>
        </w:rPr>
        <w:t>Univerza v Mariboru, Pravna fakulteta je dne 26.10.2017 sklenila pogodbo o soizdajateljstvu za revijo REVUS – Revija za ustavno teorijo in filozofijo prava (ISSN 1581-7652) v višini 3.600€/letnik</w:t>
      </w:r>
      <w:r w:rsidR="009E59A2" w:rsidRPr="0056517C">
        <w:rPr>
          <w:rFonts w:eastAsia="Calibri"/>
        </w:rPr>
        <w:t>. N</w:t>
      </w:r>
      <w:r w:rsidRPr="0056517C">
        <w:rPr>
          <w:rFonts w:eastAsia="Calibri"/>
        </w:rPr>
        <w:t xml:space="preserve">a </w:t>
      </w:r>
      <w:r w:rsidR="009E59A2" w:rsidRPr="0056517C">
        <w:rPr>
          <w:rFonts w:eastAsia="Calibri"/>
        </w:rPr>
        <w:t>leto izzidejo</w:t>
      </w:r>
      <w:r w:rsidRPr="0056517C">
        <w:rPr>
          <w:rFonts w:eastAsia="Calibri"/>
        </w:rPr>
        <w:t xml:space="preserve"> </w:t>
      </w:r>
      <w:r w:rsidR="009E59A2" w:rsidRPr="0056517C">
        <w:rPr>
          <w:rFonts w:eastAsia="Calibri"/>
        </w:rPr>
        <w:t>po 3</w:t>
      </w:r>
      <w:r w:rsidR="00350BC7" w:rsidRPr="0056517C">
        <w:rPr>
          <w:rFonts w:eastAsia="Calibri"/>
        </w:rPr>
        <w:t xml:space="preserve"> številke, v vsaki so po 4 članki, od tega so v večini iz španskega jezikovnega področja in so v španščini, brez angleškega prevoda. V knjižnici tiskanih izvodov iz letnika 2018 </w:t>
      </w:r>
      <w:r w:rsidR="009F0192">
        <w:rPr>
          <w:rFonts w:eastAsia="Calibri"/>
        </w:rPr>
        <w:t xml:space="preserve">sploh še </w:t>
      </w:r>
      <w:r w:rsidR="00350BC7" w:rsidRPr="0056517C">
        <w:rPr>
          <w:rFonts w:eastAsia="Calibri"/>
        </w:rPr>
        <w:t>nismo dobili,</w:t>
      </w:r>
      <w:r w:rsidR="009F0192">
        <w:rPr>
          <w:rFonts w:eastAsia="Calibri"/>
        </w:rPr>
        <w:t xml:space="preserve"> čeprav na spletu </w:t>
      </w:r>
      <w:r w:rsidR="00D61BB9">
        <w:rPr>
          <w:rFonts w:eastAsia="Calibri"/>
        </w:rPr>
        <w:t xml:space="preserve">(preverba dne 11.3.2019) </w:t>
      </w:r>
      <w:r w:rsidR="009F0192">
        <w:rPr>
          <w:rFonts w:eastAsia="Calibri"/>
        </w:rPr>
        <w:t>piše, da so že izšli;</w:t>
      </w:r>
      <w:r w:rsidR="00350BC7" w:rsidRPr="0056517C">
        <w:rPr>
          <w:rFonts w:eastAsia="Calibri"/>
        </w:rPr>
        <w:t xml:space="preserve"> nazadnje smo po posredovanju septembra 2018 dobili manjkajoče tiskane številke</w:t>
      </w:r>
      <w:r w:rsidRPr="0056517C">
        <w:rPr>
          <w:rFonts w:eastAsia="Calibri"/>
        </w:rPr>
        <w:t xml:space="preserve"> </w:t>
      </w:r>
      <w:r w:rsidR="00350BC7" w:rsidRPr="0056517C">
        <w:rPr>
          <w:rFonts w:eastAsia="Calibri"/>
        </w:rPr>
        <w:t>iz leta 2017</w:t>
      </w:r>
      <w:r w:rsidR="009F0192">
        <w:rPr>
          <w:rFonts w:eastAsia="Calibri"/>
        </w:rPr>
        <w:t xml:space="preserve"> – pa še to le 5 izvodov</w:t>
      </w:r>
      <w:r w:rsidR="009F0192" w:rsidRPr="009F0192">
        <w:rPr>
          <w:rFonts w:eastAsia="Calibri"/>
        </w:rPr>
        <w:t xml:space="preserve"> </w:t>
      </w:r>
      <w:r w:rsidR="009F0192" w:rsidRPr="0056517C">
        <w:rPr>
          <w:rFonts w:eastAsia="Calibri"/>
        </w:rPr>
        <w:t>vsake številke</w:t>
      </w:r>
      <w:r w:rsidR="009F0192">
        <w:rPr>
          <w:rFonts w:eastAsia="Calibri"/>
        </w:rPr>
        <w:t>, čeprav</w:t>
      </w:r>
      <w:r w:rsidR="009F0192" w:rsidRPr="0056517C">
        <w:rPr>
          <w:rFonts w:eastAsia="Calibri"/>
        </w:rPr>
        <w:t xml:space="preserve"> </w:t>
      </w:r>
      <w:r w:rsidR="0056517C" w:rsidRPr="0056517C">
        <w:rPr>
          <w:rFonts w:eastAsia="Calibri"/>
        </w:rPr>
        <w:t>v pogodbi piše, da bi morali dobivati po 10 izvodov vsake š</w:t>
      </w:r>
      <w:r w:rsidR="009F0192">
        <w:rPr>
          <w:rFonts w:eastAsia="Calibri"/>
        </w:rPr>
        <w:t>tevilke</w:t>
      </w:r>
      <w:r w:rsidR="00350BC7" w:rsidRPr="0056517C">
        <w:rPr>
          <w:rFonts w:eastAsia="Calibri"/>
        </w:rPr>
        <w:t>.</w:t>
      </w:r>
      <w:r w:rsidR="000772CB">
        <w:rPr>
          <w:rFonts w:eastAsia="Calibri"/>
        </w:rPr>
        <w:t xml:space="preserve"> Dne 11.3.2019 tudi na spletu še ni bilo podatka, da bi izšla katera številka iz leta 2019, prav tako v knjižnico nismo dobili še nobene tiskane številke iz leta 2019.</w:t>
      </w:r>
    </w:p>
    <w:p w:rsidR="0056517C" w:rsidRPr="0056517C" w:rsidRDefault="0056517C" w:rsidP="00350BC7">
      <w:pPr>
        <w:spacing w:after="0"/>
        <w:jc w:val="both"/>
        <w:rPr>
          <w:rFonts w:eastAsia="Calibri"/>
        </w:rPr>
      </w:pPr>
      <w:r w:rsidRPr="0056517C">
        <w:rPr>
          <w:rFonts w:eastAsia="Calibri"/>
        </w:rPr>
        <w:t xml:space="preserve">V tiskani izdaji revije </w:t>
      </w:r>
      <w:r w:rsidR="009F0192">
        <w:rPr>
          <w:rFonts w:eastAsia="Calibri"/>
        </w:rPr>
        <w:t xml:space="preserve">iz leta 2017 </w:t>
      </w:r>
      <w:r w:rsidRPr="0056517C">
        <w:rPr>
          <w:rFonts w:eastAsia="Calibri"/>
        </w:rPr>
        <w:t>je na predzadnji strani navedeno, da smo soizdajatelji</w:t>
      </w:r>
      <w:r w:rsidR="00D61BB9">
        <w:rPr>
          <w:rFonts w:eastAsia="Calibri"/>
        </w:rPr>
        <w:t xml:space="preserve"> revije</w:t>
      </w:r>
      <w:r w:rsidRPr="0056517C">
        <w:rPr>
          <w:rFonts w:eastAsia="Calibri"/>
        </w:rPr>
        <w:t>, na spletni strani revije Revus pa se podatek o tem, da smo soizdajatelji, ne nahaja - čeprav iz pogodbe izhaja, da bi nas morali pisati.</w:t>
      </w:r>
    </w:p>
    <w:p w:rsidR="00350BC7" w:rsidRPr="0056517C" w:rsidRDefault="00350BC7" w:rsidP="00281100">
      <w:pPr>
        <w:spacing w:after="0"/>
        <w:jc w:val="both"/>
        <w:rPr>
          <w:rFonts w:eastAsia="Calibri"/>
        </w:rPr>
      </w:pPr>
      <w:r w:rsidRPr="0056517C">
        <w:rPr>
          <w:rFonts w:eastAsia="Calibri"/>
        </w:rPr>
        <w:t>Pogodba velja 5 let (oktober 2022).</w:t>
      </w:r>
    </w:p>
    <w:p w:rsidR="00CD574A" w:rsidRDefault="00350BC7" w:rsidP="00281100">
      <w:pPr>
        <w:spacing w:after="0"/>
        <w:jc w:val="both"/>
        <w:rPr>
          <w:rFonts w:eastAsia="Calibri"/>
        </w:rPr>
      </w:pPr>
      <w:r w:rsidRPr="0056517C">
        <w:rPr>
          <w:rFonts w:eastAsia="Calibri"/>
        </w:rPr>
        <w:t>Revija je vključena v bazi IBZ in SCOPUS.</w:t>
      </w:r>
    </w:p>
    <w:p w:rsidR="0056517C" w:rsidRDefault="0056517C" w:rsidP="00281100">
      <w:pPr>
        <w:spacing w:after="0"/>
        <w:jc w:val="both"/>
        <w:rPr>
          <w:rFonts w:eastAsia="Calibri"/>
        </w:rPr>
      </w:pPr>
      <w:r>
        <w:rPr>
          <w:rFonts w:eastAsia="Calibri"/>
        </w:rPr>
        <w:t>V marcu 2018 smo dobili račun v višini 3.600€ za leto 2017 in ga tudi plačali</w:t>
      </w:r>
      <w:r w:rsidR="000772CB">
        <w:rPr>
          <w:rFonts w:eastAsia="Calibri"/>
        </w:rPr>
        <w:t>; marca/aprila 2019 se pričakuje račun za leto 2018</w:t>
      </w:r>
      <w:r>
        <w:rPr>
          <w:rFonts w:eastAsia="Calibri"/>
        </w:rPr>
        <w:t>.</w:t>
      </w:r>
      <w:r w:rsidR="009F0192">
        <w:rPr>
          <w:rFonts w:eastAsia="Calibri"/>
        </w:rPr>
        <w:t xml:space="preserve"> </w:t>
      </w:r>
    </w:p>
    <w:p w:rsidR="0056517C" w:rsidRPr="0056517C" w:rsidRDefault="0056517C" w:rsidP="00281100">
      <w:pPr>
        <w:spacing w:after="0"/>
        <w:jc w:val="both"/>
        <w:rPr>
          <w:rFonts w:eastAsia="Calibri"/>
        </w:rPr>
      </w:pPr>
    </w:p>
    <w:p w:rsidR="009F0192" w:rsidRPr="0023207C" w:rsidRDefault="0056517C" w:rsidP="0023207C">
      <w:pPr>
        <w:pStyle w:val="Odstavekseznama"/>
        <w:numPr>
          <w:ilvl w:val="0"/>
          <w:numId w:val="22"/>
        </w:numPr>
        <w:spacing w:line="264" w:lineRule="auto"/>
        <w:ind w:left="1276" w:hanging="1276"/>
        <w:jc w:val="both"/>
        <w:rPr>
          <w:rFonts w:eastAsia="Calibri"/>
          <w:b/>
        </w:rPr>
      </w:pPr>
      <w:r w:rsidRPr="0023207C">
        <w:rPr>
          <w:rFonts w:eastAsia="Calibri"/>
          <w:b/>
        </w:rPr>
        <w:t>Knjižnični odbor kot posvetovalno telo predlaga</w:t>
      </w:r>
      <w:r w:rsidR="009B273E" w:rsidRPr="0023207C">
        <w:rPr>
          <w:rFonts w:eastAsia="Calibri"/>
          <w:b/>
        </w:rPr>
        <w:t xml:space="preserve"> vodstvu Pravne fakultete Univerze v Mariboru</w:t>
      </w:r>
      <w:r w:rsidRPr="0023207C">
        <w:rPr>
          <w:rFonts w:eastAsia="Calibri"/>
          <w:b/>
        </w:rPr>
        <w:t>,</w:t>
      </w:r>
      <w:r w:rsidR="009B273E" w:rsidRPr="0023207C">
        <w:rPr>
          <w:rFonts w:eastAsia="Calibri"/>
          <w:b/>
        </w:rPr>
        <w:t xml:space="preserve"> da še naprej sodeluje kot soizdajatelj revije Lex Localis, saj </w:t>
      </w:r>
      <w:r w:rsidR="00464C09" w:rsidRPr="0023207C">
        <w:rPr>
          <w:rFonts w:eastAsia="Calibri"/>
          <w:b/>
        </w:rPr>
        <w:t>so revijo pomagali ustanoviti naši</w:t>
      </w:r>
      <w:r w:rsidR="009F0192" w:rsidRPr="0023207C">
        <w:rPr>
          <w:rFonts w:eastAsia="Calibri"/>
          <w:b/>
        </w:rPr>
        <w:t xml:space="preserve"> profesorji, ki v uredniškem odboru še vedno tudi sodelujejo</w:t>
      </w:r>
      <w:r w:rsidR="00BE1791" w:rsidRPr="0023207C">
        <w:rPr>
          <w:rFonts w:eastAsia="Calibri"/>
          <w:b/>
        </w:rPr>
        <w:t>; v reviji tudi redno izhajajo članki naših sodelavcev</w:t>
      </w:r>
      <w:r w:rsidR="009F0192" w:rsidRPr="0023207C">
        <w:rPr>
          <w:rFonts w:eastAsia="Calibri"/>
          <w:b/>
        </w:rPr>
        <w:t>.</w:t>
      </w:r>
    </w:p>
    <w:p w:rsidR="00781684" w:rsidRPr="0023207C" w:rsidRDefault="00D61BB9" w:rsidP="0023207C">
      <w:pPr>
        <w:pStyle w:val="Odstavekseznama"/>
        <w:spacing w:line="264" w:lineRule="auto"/>
        <w:ind w:left="1276"/>
        <w:jc w:val="both"/>
        <w:rPr>
          <w:rFonts w:eastAsia="Calibri"/>
          <w:b/>
        </w:rPr>
      </w:pPr>
      <w:r w:rsidRPr="00D61BB9">
        <w:rPr>
          <w:rFonts w:eastAsia="Calibri"/>
          <w:b/>
        </w:rPr>
        <w:t xml:space="preserve">V primeru revije Revus pa knjižnični odbor kot posvetovalno telo predlaga vodstvu Pravne fakultete, da </w:t>
      </w:r>
      <w:r>
        <w:rPr>
          <w:rFonts w:eastAsia="Calibri"/>
          <w:b/>
        </w:rPr>
        <w:t>se pogodba</w:t>
      </w:r>
      <w:r w:rsidRPr="00D61BB9">
        <w:rPr>
          <w:rFonts w:eastAsia="Calibri"/>
          <w:b/>
        </w:rPr>
        <w:t xml:space="preserve"> o soizdajateljstvu revije Revus</w:t>
      </w:r>
      <w:r>
        <w:rPr>
          <w:rFonts w:eastAsia="Calibri"/>
          <w:b/>
        </w:rPr>
        <w:t xml:space="preserve"> </w:t>
      </w:r>
      <w:r w:rsidRPr="00D61BB9">
        <w:rPr>
          <w:rFonts w:eastAsia="Calibri"/>
          <w:b/>
        </w:rPr>
        <w:t>prekine</w:t>
      </w:r>
      <w:r>
        <w:rPr>
          <w:rFonts w:eastAsia="Calibri"/>
          <w:b/>
        </w:rPr>
        <w:t>.</w:t>
      </w:r>
      <w:bookmarkStart w:id="0" w:name="_GoBack"/>
      <w:bookmarkEnd w:id="0"/>
    </w:p>
    <w:p w:rsidR="00CD574A" w:rsidRDefault="00CD574A" w:rsidP="00281100">
      <w:pPr>
        <w:spacing w:after="0"/>
        <w:jc w:val="both"/>
        <w:rPr>
          <w:rFonts w:eastAsia="Calibri"/>
          <w:i/>
        </w:rPr>
      </w:pPr>
    </w:p>
    <w:p w:rsidR="0056517C" w:rsidRPr="0023207C" w:rsidRDefault="0056517C" w:rsidP="0023207C">
      <w:pPr>
        <w:rPr>
          <w:i/>
          <w:color w:val="000000"/>
        </w:rPr>
      </w:pPr>
      <w:r w:rsidRPr="0023207C">
        <w:rPr>
          <w:i/>
        </w:rPr>
        <w:t>Ad6. Naročilo baz (WestLaw, BeckOnline Premium, RDB, HeinOnline)</w:t>
      </w:r>
      <w:r w:rsidRPr="0023207C">
        <w:rPr>
          <w:i/>
          <w:color w:val="000000"/>
        </w:rPr>
        <w:t xml:space="preserve"> </w:t>
      </w:r>
    </w:p>
    <w:p w:rsidR="0056517C" w:rsidRPr="0074789F" w:rsidRDefault="0056517C" w:rsidP="0056517C">
      <w:pPr>
        <w:spacing w:after="0" w:line="264" w:lineRule="auto"/>
        <w:jc w:val="both"/>
        <w:rPr>
          <w:rFonts w:eastAsia="Calibri"/>
        </w:rPr>
      </w:pPr>
      <w:r w:rsidRPr="0074789F">
        <w:rPr>
          <w:rFonts w:eastAsia="Calibri"/>
        </w:rPr>
        <w:t>Na Pravni fakulteti trenutno naročamo naslednje baze:</w:t>
      </w:r>
    </w:p>
    <w:p w:rsidR="0056517C" w:rsidRDefault="0056517C" w:rsidP="0056517C">
      <w:pPr>
        <w:spacing w:after="0" w:line="264" w:lineRule="auto"/>
        <w:jc w:val="both"/>
        <w:rPr>
          <w:rFonts w:eastAsia="Calibri"/>
        </w:rPr>
      </w:pPr>
      <w:r w:rsidRPr="0023207C">
        <w:rPr>
          <w:rFonts w:eastAsia="Calibri"/>
          <w:b/>
          <w:i/>
        </w:rPr>
        <w:t>BeckOnline Premium</w:t>
      </w:r>
      <w:r w:rsidRPr="0074789F">
        <w:rPr>
          <w:rFonts w:eastAsia="Calibri"/>
        </w:rPr>
        <w:t>: 6.500€/leto. Če bi imeli do baze oddaljeni dostop, bi bila cena 14.625 €/leto za 8 uporabnikov. Plačnik je naša fakulteta. Baza (predvsem od</w:t>
      </w:r>
      <w:r>
        <w:rPr>
          <w:rFonts w:eastAsia="Calibri"/>
        </w:rPr>
        <w:t>d</w:t>
      </w:r>
      <w:r w:rsidRPr="0074789F">
        <w:rPr>
          <w:rFonts w:eastAsia="Calibri"/>
        </w:rPr>
        <w:t>aljeni dostop) je zelo zanimiva predvsem za gospodarsko katedro (Jerneja, Nataša)</w:t>
      </w:r>
      <w:r w:rsidR="00781684">
        <w:rPr>
          <w:rFonts w:eastAsia="Calibri"/>
        </w:rPr>
        <w:t>.</w:t>
      </w:r>
    </w:p>
    <w:p w:rsidR="00781684" w:rsidRPr="0074789F" w:rsidRDefault="00781684" w:rsidP="0056517C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Statistika uporabe baze v letih 2017 in 2018 je zadovoljiva.</w:t>
      </w:r>
    </w:p>
    <w:p w:rsidR="0056517C" w:rsidRDefault="0056517C" w:rsidP="0056517C">
      <w:pPr>
        <w:spacing w:after="0" w:line="264" w:lineRule="auto"/>
        <w:jc w:val="both"/>
        <w:rPr>
          <w:rFonts w:eastAsia="Calibri"/>
        </w:rPr>
      </w:pPr>
      <w:r w:rsidRPr="0023207C">
        <w:rPr>
          <w:rFonts w:eastAsia="Calibri"/>
          <w:b/>
          <w:i/>
        </w:rPr>
        <w:t>RDB</w:t>
      </w:r>
      <w:r w:rsidRPr="0074789F">
        <w:rPr>
          <w:rFonts w:eastAsia="Calibri"/>
        </w:rPr>
        <w:t>: 450€/mesec (5.400€/leto). Plačnik je naša fakulteta.</w:t>
      </w:r>
      <w:r>
        <w:rPr>
          <w:rFonts w:eastAsia="Calibri"/>
        </w:rPr>
        <w:t xml:space="preserve"> V letu 2018 smo se zaradi slabe statistike uporabe baze dogovorili, da nam za  </w:t>
      </w:r>
      <w:r w:rsidRPr="00E75B93">
        <w:rPr>
          <w:rFonts w:eastAsia="Calibri"/>
        </w:rPr>
        <w:t>doplačilo 204€ na letnem nivoju</w:t>
      </w:r>
      <w:r>
        <w:rPr>
          <w:rFonts w:eastAsia="Calibri"/>
        </w:rPr>
        <w:t xml:space="preserve"> baza založnik Manz doda še dostop do naslednjih komentarjev: </w:t>
      </w:r>
    </w:p>
    <w:p w:rsidR="0056517C" w:rsidRDefault="0056517C" w:rsidP="0056517C">
      <w:pPr>
        <w:spacing w:after="0" w:line="264" w:lineRule="auto"/>
        <w:jc w:val="both"/>
        <w:rPr>
          <w:rFonts w:eastAsia="Calibri"/>
        </w:rPr>
      </w:pPr>
      <w:r w:rsidRPr="00523B78">
        <w:rPr>
          <w:rFonts w:eastAsia="Calibri"/>
        </w:rPr>
        <w:t>Offentliches Recht</w:t>
      </w:r>
      <w:r>
        <w:rPr>
          <w:rFonts w:eastAsia="Calibri"/>
        </w:rPr>
        <w:t>:</w:t>
      </w:r>
    </w:p>
    <w:p w:rsidR="0056517C" w:rsidRDefault="0056517C" w:rsidP="0056517C">
      <w:pPr>
        <w:spacing w:after="0" w:line="264" w:lineRule="auto"/>
        <w:ind w:left="708"/>
        <w:jc w:val="both"/>
        <w:rPr>
          <w:rFonts w:eastAsia="Calibri"/>
        </w:rPr>
      </w:pPr>
      <w:r>
        <w:rPr>
          <w:rFonts w:eastAsia="Calibri"/>
        </w:rPr>
        <w:t>-</w:t>
      </w:r>
      <w:r w:rsidRPr="00523B78">
        <w:t xml:space="preserve"> </w:t>
      </w:r>
      <w:r w:rsidRPr="00523B78">
        <w:rPr>
          <w:rFonts w:eastAsia="Calibri"/>
        </w:rPr>
        <w:t>DSG Datenschutzgesetz on line</w:t>
      </w:r>
      <w:r>
        <w:rPr>
          <w:rFonts w:eastAsia="Calibri"/>
        </w:rPr>
        <w:t xml:space="preserve"> (</w:t>
      </w:r>
      <w:r w:rsidRPr="00523B78">
        <w:rPr>
          <w:rFonts w:eastAsia="Calibri"/>
        </w:rPr>
        <w:t>Pollirer/Weiss/Knyrim/Haidinger</w:t>
      </w:r>
      <w:r>
        <w:rPr>
          <w:rFonts w:eastAsia="Calibri"/>
        </w:rPr>
        <w:t>)</w:t>
      </w:r>
    </w:p>
    <w:p w:rsidR="0056517C" w:rsidRDefault="0056517C" w:rsidP="0056517C">
      <w:pPr>
        <w:spacing w:after="0" w:line="264" w:lineRule="auto"/>
        <w:ind w:left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23B78">
        <w:rPr>
          <w:rFonts w:eastAsia="Calibri"/>
        </w:rPr>
        <w:t>DSG online - Kommentar zum Datenschutzrecht</w:t>
      </w:r>
      <w:r>
        <w:rPr>
          <w:rFonts w:eastAsia="Calibri"/>
        </w:rPr>
        <w:t xml:space="preserve"> (</w:t>
      </w:r>
      <w:r w:rsidRPr="00523B78">
        <w:rPr>
          <w:rFonts w:eastAsia="Calibri"/>
        </w:rPr>
        <w:t>Dohr / Pollirer /Weiss/Knyrim</w:t>
      </w:r>
      <w:r>
        <w:rPr>
          <w:rFonts w:eastAsia="Calibri"/>
        </w:rPr>
        <w:t>)</w:t>
      </w:r>
    </w:p>
    <w:p w:rsidR="0056517C" w:rsidRDefault="0056517C" w:rsidP="0056517C">
      <w:pPr>
        <w:spacing w:after="0" w:line="264" w:lineRule="auto"/>
        <w:ind w:left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23B78">
        <w:rPr>
          <w:rFonts w:eastAsia="Calibri"/>
        </w:rPr>
        <w:t>DSGVO online</w:t>
      </w:r>
      <w:r>
        <w:rPr>
          <w:rFonts w:eastAsia="Calibri"/>
        </w:rPr>
        <w:t xml:space="preserve"> (Pol</w:t>
      </w:r>
      <w:r w:rsidRPr="00523B78">
        <w:rPr>
          <w:rFonts w:eastAsia="Calibri"/>
        </w:rPr>
        <w:t>lirer /Weiss/Knyrim/Haidinger</w:t>
      </w:r>
      <w:r>
        <w:rPr>
          <w:rFonts w:eastAsia="Calibri"/>
        </w:rPr>
        <w:t>)</w:t>
      </w:r>
    </w:p>
    <w:p w:rsidR="0056517C" w:rsidRDefault="0056517C" w:rsidP="0056517C">
      <w:pPr>
        <w:spacing w:after="0" w:line="264" w:lineRule="auto"/>
        <w:jc w:val="both"/>
        <w:rPr>
          <w:rFonts w:eastAsia="Calibri"/>
        </w:rPr>
      </w:pPr>
      <w:r w:rsidRPr="00523B78">
        <w:rPr>
          <w:rFonts w:eastAsia="Calibri"/>
        </w:rPr>
        <w:t>Strafrecht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StGB online - Wiener Kommentar zum Strafgesetzbuch (Hopfel/Ratz</w:t>
      </w:r>
      <w:r>
        <w:rPr>
          <w:rFonts w:eastAsia="Calibri"/>
        </w:rPr>
        <w:t>)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StPO online - Wiener Kommentar zur Strafprozessordnung (Fuchs/Ratz</w:t>
      </w:r>
      <w:r>
        <w:rPr>
          <w:rFonts w:eastAsia="Calibri"/>
        </w:rPr>
        <w:t>)</w:t>
      </w:r>
    </w:p>
    <w:p w:rsidR="0056517C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Wirtschaftsstrafrecht online – Handbuch (Kert/Kodek (Hrsg)</w:t>
      </w:r>
      <w:r>
        <w:rPr>
          <w:rFonts w:eastAsia="Calibri"/>
        </w:rPr>
        <w:t>)</w:t>
      </w:r>
    </w:p>
    <w:p w:rsidR="0056517C" w:rsidRDefault="0056517C" w:rsidP="0056517C">
      <w:pPr>
        <w:pStyle w:val="Odstavekseznama"/>
        <w:spacing w:line="264" w:lineRule="auto"/>
        <w:ind w:left="0"/>
        <w:jc w:val="both"/>
        <w:rPr>
          <w:rFonts w:eastAsia="Calibri"/>
        </w:rPr>
      </w:pPr>
      <w:r w:rsidRPr="00523B78">
        <w:rPr>
          <w:rFonts w:eastAsia="Calibri"/>
        </w:rPr>
        <w:t>Zivilrecht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ABGB online - Kommentar zum Allgemeinen burgerlichen Gesetzbuch (Rummel</w:t>
      </w:r>
      <w:r>
        <w:rPr>
          <w:rFonts w:eastAsia="Calibri"/>
        </w:rPr>
        <w:t>)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ABGB-ON - Kommentar zum Allgemeinen burgerlichen Gesetzbuch (Kletecka/Schauer</w:t>
      </w:r>
      <w:r>
        <w:rPr>
          <w:rFonts w:eastAsia="Calibri"/>
        </w:rPr>
        <w:t>)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EuErbVO online Kommentar zur EU-Erbrechtsverordnung (Deixler-Hubner/Schauer (Hrsg)</w:t>
      </w:r>
      <w:r>
        <w:rPr>
          <w:rFonts w:eastAsia="Calibri"/>
        </w:rPr>
        <w:t>)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Grundbuchsrecht online - Kommentar zum Grundbuchsrecht (Kodek</w:t>
      </w:r>
      <w:r>
        <w:rPr>
          <w:rFonts w:eastAsia="Calibri"/>
        </w:rPr>
        <w:t>)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lastRenderedPageBreak/>
        <w:t>Handbuch des Miet- und Wohnrechts online (Rainer (Hrsg)</w:t>
      </w:r>
      <w:r>
        <w:rPr>
          <w:rFonts w:eastAsia="Calibri"/>
        </w:rPr>
        <w:t>)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Manz Wohnrecht online - WEG (inkl. HeizKG), MRG (inkl. ABGB-Mietrecht), WGG (inkl. BTVG), lmmobilienmakler (Prader</w:t>
      </w:r>
      <w:r>
        <w:rPr>
          <w:rFonts w:eastAsia="Calibri"/>
        </w:rPr>
        <w:t>)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Miet- und Wohnrecht on line</w:t>
      </w:r>
      <w:r>
        <w:rPr>
          <w:rFonts w:eastAsia="Calibri"/>
        </w:rPr>
        <w:t xml:space="preserve"> (</w:t>
      </w:r>
      <w:r w:rsidRPr="00523B78">
        <w:rPr>
          <w:rFonts w:eastAsia="Calibri"/>
        </w:rPr>
        <w:t>Wurth/Zingher/Kovanyi</w:t>
      </w:r>
      <w:r>
        <w:rPr>
          <w:rFonts w:eastAsia="Calibri"/>
        </w:rPr>
        <w:t>)</w:t>
      </w:r>
    </w:p>
    <w:p w:rsidR="0056517C" w:rsidRPr="00523B78" w:rsidRDefault="0056517C" w:rsidP="0056517C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</w:pPr>
      <w:r w:rsidRPr="00523B78">
        <w:rPr>
          <w:rFonts w:eastAsia="Calibri"/>
        </w:rPr>
        <w:t>Wohnrecht GeKo online (Bohm/Pletzer/Spruzina/Stabentheiner</w:t>
      </w:r>
      <w:r>
        <w:rPr>
          <w:rFonts w:eastAsia="Calibri"/>
        </w:rPr>
        <w:t>)</w:t>
      </w:r>
    </w:p>
    <w:p w:rsidR="0056517C" w:rsidRDefault="00507E9B" w:rsidP="0056517C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Vsi ti e-komentarji so obdelani</w:t>
      </w:r>
      <w:r w:rsidR="0056517C">
        <w:rPr>
          <w:rFonts w:eastAsia="Calibri"/>
        </w:rPr>
        <w:t xml:space="preserve"> v COBISSu z linki do baze RDB.</w:t>
      </w:r>
    </w:p>
    <w:p w:rsidR="00781684" w:rsidRDefault="00781684" w:rsidP="0056517C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Statistika uporabe baze v letih 2017 in 2018 je porazna.</w:t>
      </w:r>
    </w:p>
    <w:p w:rsidR="0056517C" w:rsidRPr="0074789F" w:rsidRDefault="0056517C" w:rsidP="0056517C">
      <w:pPr>
        <w:spacing w:after="0" w:line="264" w:lineRule="auto"/>
        <w:jc w:val="both"/>
        <w:rPr>
          <w:rFonts w:eastAsia="Calibri"/>
        </w:rPr>
      </w:pPr>
    </w:p>
    <w:p w:rsidR="0056517C" w:rsidRDefault="0056517C" w:rsidP="0056517C">
      <w:pPr>
        <w:spacing w:after="0" w:line="264" w:lineRule="auto"/>
        <w:jc w:val="both"/>
        <w:rPr>
          <w:rFonts w:eastAsia="Calibri"/>
        </w:rPr>
      </w:pPr>
      <w:r w:rsidRPr="0023207C">
        <w:rPr>
          <w:rFonts w:eastAsia="Calibri"/>
          <w:b/>
          <w:i/>
        </w:rPr>
        <w:t>WestLaw</w:t>
      </w:r>
      <w:r w:rsidRPr="0074789F">
        <w:rPr>
          <w:rFonts w:eastAsia="Calibri"/>
        </w:rPr>
        <w:t xml:space="preserve">: triletna pogodba; </w:t>
      </w:r>
      <w:r>
        <w:rPr>
          <w:rFonts w:eastAsia="Calibri"/>
        </w:rPr>
        <w:t>l. 2016</w:t>
      </w:r>
      <w:r w:rsidRPr="0074789F">
        <w:rPr>
          <w:rFonts w:eastAsia="Calibri"/>
        </w:rPr>
        <w:t xml:space="preserve">: 3.675€, </w:t>
      </w:r>
      <w:r>
        <w:rPr>
          <w:rFonts w:eastAsia="Calibri"/>
        </w:rPr>
        <w:t>l. 2017</w:t>
      </w:r>
      <w:r w:rsidRPr="0074789F">
        <w:rPr>
          <w:rFonts w:eastAsia="Calibri"/>
        </w:rPr>
        <w:t xml:space="preserve">: 3.858.75€, </w:t>
      </w:r>
      <w:r>
        <w:rPr>
          <w:rFonts w:eastAsia="Calibri"/>
        </w:rPr>
        <w:t>l. 2018:</w:t>
      </w:r>
      <w:r w:rsidRPr="0074789F">
        <w:rPr>
          <w:rFonts w:eastAsia="Calibri"/>
        </w:rPr>
        <w:t xml:space="preserve"> 4.051, 69€ (=skupaj v 3 letih 11.585,44€)) = enaka ceno, kot zanjo plačuje PF LJ s to razliko, da je dostop omogočen za celo UM.  Plačnik za vsa tri leta je naša fakulteta.</w:t>
      </w:r>
      <w:r w:rsidR="00781684">
        <w:rPr>
          <w:rFonts w:eastAsia="Calibri"/>
        </w:rPr>
        <w:t xml:space="preserve"> V sodelovanju z UKM se že pripravlja 3-letna pogodba za obdobje 2019-2021 za dostop do baze.</w:t>
      </w:r>
    </w:p>
    <w:p w:rsidR="00781684" w:rsidRDefault="00781684" w:rsidP="0056517C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Statistika uporabe baze je zelo dobra.</w:t>
      </w:r>
    </w:p>
    <w:p w:rsidR="0056517C" w:rsidRPr="0074789F" w:rsidRDefault="0056517C" w:rsidP="0056517C">
      <w:pPr>
        <w:spacing w:after="0" w:line="264" w:lineRule="auto"/>
        <w:jc w:val="both"/>
        <w:rPr>
          <w:rFonts w:eastAsia="Calibri"/>
        </w:rPr>
      </w:pPr>
    </w:p>
    <w:p w:rsidR="0056517C" w:rsidRDefault="0056517C" w:rsidP="0056517C">
      <w:pPr>
        <w:spacing w:after="0" w:line="264" w:lineRule="auto"/>
        <w:jc w:val="both"/>
        <w:rPr>
          <w:rFonts w:eastAsia="Calibri"/>
        </w:rPr>
      </w:pPr>
      <w:r w:rsidRPr="0023207C">
        <w:rPr>
          <w:rFonts w:eastAsia="Calibri"/>
          <w:b/>
          <w:i/>
        </w:rPr>
        <w:t>HeinOnline</w:t>
      </w:r>
      <w:r w:rsidRPr="0074789F">
        <w:rPr>
          <w:rFonts w:eastAsia="Calibri"/>
        </w:rPr>
        <w:t>: pribl. 5.000€/leto. Baza je na seznamu za sofinanciranje elektronskih virov članic Univerze v Mariboru, kar pomeni, da zanjo plačuje cela univerza, vključno z nami, ko plačamo nek sorazmerni delež za nabavo el. virov (ki pa ga moramo itak plačati, pa kolikorkoli baz je že na tem seznamu).</w:t>
      </w:r>
    </w:p>
    <w:p w:rsidR="0056517C" w:rsidRDefault="0056517C" w:rsidP="0056517C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 xml:space="preserve">Žal pa baza HeinOnline ne omogoča dostopa tudi do modula </w:t>
      </w:r>
      <w:r>
        <w:t xml:space="preserve">»a la carte« vsebine baze </w:t>
      </w:r>
      <w:hyperlink r:id="rId11" w:history="1">
        <w:r>
          <w:rPr>
            <w:rStyle w:val="Hiperpovezava"/>
            <w:highlight w:val="lightGray"/>
            <w:lang w:val="en-US"/>
          </w:rPr>
          <w:t>Kluwer Law International Journal Library</w:t>
        </w:r>
      </w:hyperlink>
      <w:r>
        <w:rPr>
          <w:color w:val="1F497D"/>
          <w:highlight w:val="lightGray"/>
          <w:lang w:val="en-US"/>
        </w:rPr>
        <w:t>,</w:t>
      </w:r>
      <w:r>
        <w:rPr>
          <w:color w:val="1F497D"/>
          <w:lang w:val="en-US"/>
        </w:rPr>
        <w:t xml:space="preserve"> </w:t>
      </w:r>
      <w:r w:rsidRPr="00523B78">
        <w:rPr>
          <w:rFonts w:eastAsia="Calibri"/>
        </w:rPr>
        <w:t>zato je bilo UKMu predlagano, da se v letu 2019 baza naroči</w:t>
      </w:r>
      <w:r>
        <w:rPr>
          <w:rFonts w:eastAsia="Calibri"/>
        </w:rPr>
        <w:t xml:space="preserve">, a obvezno s </w:t>
      </w:r>
      <w:r w:rsidR="00781684">
        <w:rPr>
          <w:rFonts w:eastAsia="Calibri"/>
        </w:rPr>
        <w:t>tem dodatkom (opozorilo: dodatek Kluwer Law international Journal Library ima embargo na Kluwerjeve revije za zadnji 2 leti).</w:t>
      </w:r>
    </w:p>
    <w:p w:rsidR="00781684" w:rsidRDefault="00781684" w:rsidP="0056517C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Statistika uporabe baze je več kot odlična, saj je baza vključena v UM-NIK.</w:t>
      </w:r>
    </w:p>
    <w:p w:rsidR="00A1587F" w:rsidRPr="0023207C" w:rsidRDefault="0023207C" w:rsidP="0023207C">
      <w:pPr>
        <w:pStyle w:val="Odstavekseznama"/>
        <w:numPr>
          <w:ilvl w:val="0"/>
          <w:numId w:val="22"/>
        </w:numPr>
        <w:spacing w:line="264" w:lineRule="auto"/>
        <w:jc w:val="both"/>
        <w:rPr>
          <w:rFonts w:eastAsia="Calibri"/>
          <w:b/>
        </w:rPr>
      </w:pPr>
      <w:r w:rsidRPr="0023207C">
        <w:rPr>
          <w:rFonts w:eastAsia="Calibri"/>
          <w:b/>
        </w:rPr>
        <w:t>P</w:t>
      </w:r>
      <w:r w:rsidR="00A1587F" w:rsidRPr="0023207C">
        <w:rPr>
          <w:rFonts w:eastAsia="Calibri"/>
          <w:b/>
        </w:rPr>
        <w:t xml:space="preserve">redstavniki kateder (člani KO) se strinjajo, da se baze naročajo tudi v letu 2019. </w:t>
      </w:r>
    </w:p>
    <w:p w:rsidR="00A1587F" w:rsidRPr="0023207C" w:rsidRDefault="00A1587F" w:rsidP="0023207C">
      <w:pPr>
        <w:pStyle w:val="Odstavekseznama"/>
        <w:numPr>
          <w:ilvl w:val="2"/>
          <w:numId w:val="14"/>
        </w:numPr>
        <w:spacing w:line="264" w:lineRule="auto"/>
        <w:jc w:val="both"/>
        <w:rPr>
          <w:rFonts w:eastAsia="Calibri"/>
          <w:b/>
        </w:rPr>
      </w:pPr>
      <w:r w:rsidRPr="0023207C">
        <w:rPr>
          <w:rFonts w:eastAsia="Calibri"/>
          <w:b/>
        </w:rPr>
        <w:t>BeckOnlinePremium – v obliki, kot je bila dostopna do sedaj (za naročilo/plačilo poskrbi PF</w:t>
      </w:r>
      <w:r w:rsidR="00507E9B" w:rsidRPr="0023207C">
        <w:rPr>
          <w:rFonts w:eastAsia="Calibri"/>
          <w:b/>
        </w:rPr>
        <w:t>,</w:t>
      </w:r>
      <w:r w:rsidRPr="0023207C">
        <w:rPr>
          <w:rFonts w:eastAsia="Calibri"/>
          <w:b/>
        </w:rPr>
        <w:t>)</w:t>
      </w:r>
    </w:p>
    <w:p w:rsidR="00A1587F" w:rsidRPr="0023207C" w:rsidRDefault="00A1587F" w:rsidP="0023207C">
      <w:pPr>
        <w:pStyle w:val="Odstavekseznama"/>
        <w:numPr>
          <w:ilvl w:val="2"/>
          <w:numId w:val="14"/>
        </w:numPr>
        <w:spacing w:line="264" w:lineRule="auto"/>
        <w:jc w:val="both"/>
        <w:rPr>
          <w:rFonts w:eastAsia="Calibri"/>
          <w:b/>
        </w:rPr>
      </w:pPr>
      <w:r w:rsidRPr="0023207C">
        <w:rPr>
          <w:rFonts w:eastAsia="Calibri"/>
          <w:b/>
        </w:rPr>
        <w:t>RDB – vključno s komentarji (za naročilo/plačilo poskrbi PF)</w:t>
      </w:r>
      <w:r w:rsidR="00507E9B" w:rsidRPr="0023207C">
        <w:rPr>
          <w:rFonts w:eastAsia="Calibri"/>
          <w:b/>
        </w:rPr>
        <w:t>. Vodja knjižnice naj uporabnikom knjižnice Mirka Ilešiča Pravne fakultete Maribor pošlje mail, kjer bi uporabnike še posebej opozorili na uporabo te baze. V kolikor odziv ne bi bil zadovoljiv, se naj v letu 2020 baza več ne naroča, namesto te baze pa se naj razmisli o nakupu baze IusInfo z možnostjo oddaljenega dostopa,</w:t>
      </w:r>
    </w:p>
    <w:p w:rsidR="00A1587F" w:rsidRPr="0023207C" w:rsidRDefault="00A1587F" w:rsidP="0023207C">
      <w:pPr>
        <w:pStyle w:val="Odstavekseznama"/>
        <w:numPr>
          <w:ilvl w:val="2"/>
          <w:numId w:val="14"/>
        </w:numPr>
        <w:spacing w:line="264" w:lineRule="auto"/>
        <w:jc w:val="both"/>
        <w:rPr>
          <w:rFonts w:eastAsia="Calibri"/>
          <w:b/>
        </w:rPr>
      </w:pPr>
      <w:r w:rsidRPr="0023207C">
        <w:rPr>
          <w:rFonts w:eastAsia="Calibri"/>
          <w:b/>
        </w:rPr>
        <w:t>WestLaw in WestLaw UK – v obliki, kot je bila dostopna do sedaj (za naročilo poskrbi UKM)</w:t>
      </w:r>
      <w:r w:rsidR="00507E9B" w:rsidRPr="0023207C">
        <w:rPr>
          <w:rFonts w:eastAsia="Calibri"/>
          <w:b/>
        </w:rPr>
        <w:t>,</w:t>
      </w:r>
    </w:p>
    <w:p w:rsidR="00A1587F" w:rsidRPr="0023207C" w:rsidRDefault="00A1587F" w:rsidP="0023207C">
      <w:pPr>
        <w:pStyle w:val="Odstavekseznama"/>
        <w:numPr>
          <w:ilvl w:val="2"/>
          <w:numId w:val="14"/>
        </w:numPr>
        <w:spacing w:line="264" w:lineRule="auto"/>
        <w:jc w:val="both"/>
        <w:rPr>
          <w:rFonts w:eastAsia="Calibri"/>
          <w:b/>
        </w:rPr>
      </w:pPr>
      <w:r w:rsidRPr="0023207C">
        <w:rPr>
          <w:rFonts w:eastAsia="Calibri"/>
          <w:b/>
        </w:rPr>
        <w:t xml:space="preserve">HeinOnline – dopolni se naj z modulom »a la carte« vsebin baze </w:t>
      </w:r>
      <w:hyperlink r:id="rId12" w:history="1">
        <w:r w:rsidRPr="0023207C">
          <w:rPr>
            <w:rFonts w:eastAsia="Calibri"/>
            <w:b/>
          </w:rPr>
          <w:t>Kluwer Law International Journal Library</w:t>
        </w:r>
      </w:hyperlink>
      <w:r w:rsidRPr="0023207C">
        <w:rPr>
          <w:rFonts w:eastAsia="Calibri"/>
          <w:b/>
        </w:rPr>
        <w:t xml:space="preserve"> (za naročilo/plačilo poskrbi UKM)</w:t>
      </w:r>
      <w:r w:rsidR="00507E9B" w:rsidRPr="0023207C">
        <w:rPr>
          <w:rFonts w:eastAsia="Calibri"/>
          <w:b/>
        </w:rPr>
        <w:t>.</w:t>
      </w:r>
    </w:p>
    <w:p w:rsidR="00142518" w:rsidRDefault="00142518" w:rsidP="00142518">
      <w:pPr>
        <w:spacing w:after="0"/>
        <w:textAlignment w:val="baseline"/>
        <w:rPr>
          <w:rFonts w:eastAsia="Calibri"/>
        </w:rPr>
      </w:pPr>
    </w:p>
    <w:p w:rsidR="0056517C" w:rsidRDefault="0056517C" w:rsidP="00142518">
      <w:pPr>
        <w:spacing w:after="0"/>
        <w:textAlignment w:val="baseline"/>
        <w:rPr>
          <w:rFonts w:eastAsia="Calibri"/>
        </w:rPr>
      </w:pPr>
    </w:p>
    <w:p w:rsidR="0056517C" w:rsidRPr="0023207C" w:rsidRDefault="0056517C" w:rsidP="0023207C">
      <w:pPr>
        <w:pStyle w:val="Odstavekseznama"/>
        <w:ind w:left="0"/>
        <w:rPr>
          <w:i/>
          <w:color w:val="000000"/>
        </w:rPr>
      </w:pPr>
      <w:r w:rsidRPr="0023207C">
        <w:rPr>
          <w:i/>
          <w:color w:val="000000"/>
        </w:rPr>
        <w:t xml:space="preserve">Ad 7. Naročilo knjig in revij </w:t>
      </w:r>
    </w:p>
    <w:p w:rsidR="00CB20D8" w:rsidRDefault="0056517C" w:rsidP="00281100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 xml:space="preserve">Na </w:t>
      </w:r>
      <w:r w:rsidR="00507E9B">
        <w:rPr>
          <w:rFonts w:eastAsia="Calibri"/>
        </w:rPr>
        <w:t>zadnji</w:t>
      </w:r>
      <w:r>
        <w:rPr>
          <w:rFonts w:eastAsia="Calibri"/>
        </w:rPr>
        <w:t>, 5. seji</w:t>
      </w:r>
      <w:r w:rsidR="00507E9B">
        <w:rPr>
          <w:rFonts w:eastAsia="Calibri"/>
        </w:rPr>
        <w:t xml:space="preserve"> v prejšnjem mandatu,</w:t>
      </w:r>
      <w:r>
        <w:rPr>
          <w:rFonts w:eastAsia="Calibri"/>
        </w:rPr>
        <w:t xml:space="preserve"> je bil določen budžet 2</w:t>
      </w:r>
      <w:r w:rsidR="008F1D22">
        <w:rPr>
          <w:rFonts w:eastAsia="Calibri"/>
        </w:rPr>
        <w:t>0</w:t>
      </w:r>
      <w:r>
        <w:rPr>
          <w:rFonts w:eastAsia="Calibri"/>
        </w:rPr>
        <w:t>.000€/letno.</w:t>
      </w:r>
    </w:p>
    <w:p w:rsidR="008F1D22" w:rsidRDefault="008F1D22" w:rsidP="008F1D22">
      <w:pPr>
        <w:pStyle w:val="Odstavekseznama"/>
        <w:numPr>
          <w:ilvl w:val="0"/>
          <w:numId w:val="14"/>
        </w:numPr>
        <w:jc w:val="both"/>
        <w:rPr>
          <w:rFonts w:eastAsia="Calibri"/>
        </w:rPr>
      </w:pPr>
      <w:r>
        <w:rPr>
          <w:rFonts w:eastAsia="Calibri"/>
        </w:rPr>
        <w:t>V letu 2015 je bilo s strani KO naročenih knjig za 7.613,27€</w:t>
      </w:r>
    </w:p>
    <w:p w:rsidR="008F1D22" w:rsidRDefault="008F1D22" w:rsidP="008F1D22">
      <w:pPr>
        <w:pStyle w:val="Odstavekseznama"/>
        <w:numPr>
          <w:ilvl w:val="0"/>
          <w:numId w:val="14"/>
        </w:numPr>
        <w:jc w:val="both"/>
        <w:rPr>
          <w:rFonts w:eastAsia="Calibri"/>
        </w:rPr>
      </w:pPr>
      <w:r>
        <w:rPr>
          <w:rFonts w:eastAsia="Calibri"/>
        </w:rPr>
        <w:t>V letu 2016 je bilo s strani KO naročenih knjig za 12.915,23€</w:t>
      </w:r>
    </w:p>
    <w:p w:rsidR="008F1D22" w:rsidRDefault="008F1D22" w:rsidP="008F1D22">
      <w:pPr>
        <w:pStyle w:val="Odstavekseznama"/>
        <w:numPr>
          <w:ilvl w:val="0"/>
          <w:numId w:val="14"/>
        </w:numPr>
        <w:jc w:val="both"/>
        <w:rPr>
          <w:rFonts w:eastAsia="Calibri"/>
        </w:rPr>
      </w:pPr>
      <w:r>
        <w:rPr>
          <w:rFonts w:eastAsia="Calibri"/>
        </w:rPr>
        <w:t>V letu 2017 je bilo s strani KO naročenih knjig za 17.965,29€</w:t>
      </w:r>
    </w:p>
    <w:p w:rsidR="008F1D22" w:rsidRDefault="008F1D22" w:rsidP="008F1D22">
      <w:pPr>
        <w:pStyle w:val="Odstavekseznama"/>
        <w:numPr>
          <w:ilvl w:val="0"/>
          <w:numId w:val="14"/>
        </w:numPr>
        <w:jc w:val="both"/>
        <w:rPr>
          <w:rFonts w:eastAsia="Calibri"/>
        </w:rPr>
      </w:pPr>
      <w:r>
        <w:rPr>
          <w:rFonts w:eastAsia="Calibri"/>
        </w:rPr>
        <w:t>V letu 2018 je bilo s strani KO naročenih knjig za 12.707,68€</w:t>
      </w:r>
    </w:p>
    <w:p w:rsidR="008F1D22" w:rsidRDefault="008F1D22" w:rsidP="008F1D22">
      <w:pPr>
        <w:pStyle w:val="Odstavekseznama"/>
        <w:numPr>
          <w:ilvl w:val="0"/>
          <w:numId w:val="14"/>
        </w:numPr>
        <w:jc w:val="both"/>
        <w:rPr>
          <w:rFonts w:eastAsia="Calibri"/>
        </w:rPr>
      </w:pPr>
      <w:r>
        <w:rPr>
          <w:rFonts w:eastAsia="Calibri"/>
        </w:rPr>
        <w:t xml:space="preserve">V letu 2019 (do </w:t>
      </w:r>
      <w:r w:rsidR="000772CB">
        <w:rPr>
          <w:rFonts w:eastAsia="Calibri"/>
        </w:rPr>
        <w:t>13.3.2019) je bilo s strani KO naročenih knjig za 4.337,75€.</w:t>
      </w:r>
    </w:p>
    <w:p w:rsidR="00507E9B" w:rsidRPr="0023207C" w:rsidRDefault="00507E9B" w:rsidP="00375131">
      <w:pPr>
        <w:pStyle w:val="Odstavekseznama"/>
        <w:numPr>
          <w:ilvl w:val="0"/>
          <w:numId w:val="22"/>
        </w:numPr>
        <w:spacing w:line="264" w:lineRule="auto"/>
        <w:ind w:left="1276" w:hanging="1276"/>
        <w:jc w:val="both"/>
        <w:rPr>
          <w:rFonts w:eastAsia="Calibri"/>
          <w:b/>
        </w:rPr>
      </w:pPr>
      <w:r w:rsidRPr="0023207C">
        <w:rPr>
          <w:rFonts w:eastAsia="Calibri"/>
          <w:b/>
        </w:rPr>
        <w:t xml:space="preserve">Knjižnični odbor predlaga Poslovodnemu odboru PF, da se določi budžet za nakup gradiva iz sredstev KO v višini 20.000 €/leto, ki se okvirno koristi po 1/12 mesečno. Če budžet ni porabljen v tistem mesecu, se lahko prenese na naslednji mesec, ne more pa </w:t>
      </w:r>
      <w:r w:rsidRPr="0023207C">
        <w:rPr>
          <w:rFonts w:eastAsia="Calibri"/>
          <w:b/>
        </w:rPr>
        <w:lastRenderedPageBreak/>
        <w:t xml:space="preserve">se prenesti na naslednje leto. Ustrezna pravna služba na fakulteti naj tudi preuči potrebo po javnem naročilu </w:t>
      </w:r>
      <w:r w:rsidR="008F1D22" w:rsidRPr="0023207C">
        <w:rPr>
          <w:rFonts w:eastAsia="Calibri"/>
          <w:b/>
        </w:rPr>
        <w:t>oz. o</w:t>
      </w:r>
      <w:r w:rsidRPr="0023207C">
        <w:rPr>
          <w:rFonts w:eastAsia="Calibri"/>
          <w:b/>
        </w:rPr>
        <w:t xml:space="preserve"> morebitni pogodbi </w:t>
      </w:r>
      <w:r w:rsidR="008F1D22" w:rsidRPr="0023207C">
        <w:rPr>
          <w:rFonts w:eastAsia="Calibri"/>
          <w:b/>
        </w:rPr>
        <w:t>z dobaviteljem.</w:t>
      </w:r>
    </w:p>
    <w:p w:rsidR="00507E9B" w:rsidRDefault="00507E9B" w:rsidP="00281100">
      <w:pPr>
        <w:spacing w:after="0" w:line="264" w:lineRule="auto"/>
        <w:jc w:val="both"/>
        <w:rPr>
          <w:rFonts w:eastAsia="Calibri"/>
        </w:rPr>
      </w:pPr>
    </w:p>
    <w:p w:rsidR="0056517C" w:rsidRPr="00281100" w:rsidRDefault="0056517C" w:rsidP="00281100">
      <w:pPr>
        <w:spacing w:after="0" w:line="264" w:lineRule="auto"/>
        <w:jc w:val="both"/>
        <w:rPr>
          <w:rFonts w:eastAsia="Calibri"/>
        </w:rPr>
      </w:pPr>
    </w:p>
    <w:p w:rsidR="00375131" w:rsidRDefault="0019431F" w:rsidP="00142518">
      <w:pPr>
        <w:pStyle w:val="Odstavekseznama"/>
        <w:ind w:left="0"/>
        <w:rPr>
          <w:i/>
        </w:rPr>
      </w:pPr>
      <w:r>
        <w:rPr>
          <w:i/>
        </w:rPr>
        <w:t>Ad8</w:t>
      </w:r>
      <w:r w:rsidR="003230E7" w:rsidRPr="00375131">
        <w:rPr>
          <w:i/>
        </w:rPr>
        <w:t xml:space="preserve">. </w:t>
      </w:r>
      <w:r w:rsidR="00375131">
        <w:rPr>
          <w:i/>
        </w:rPr>
        <w:t>RAZNO</w:t>
      </w:r>
    </w:p>
    <w:p w:rsidR="00375131" w:rsidRDefault="00375131" w:rsidP="0019431F">
      <w:pPr>
        <w:pStyle w:val="Odstavekseznama"/>
        <w:numPr>
          <w:ilvl w:val="0"/>
          <w:numId w:val="29"/>
        </w:numPr>
        <w:jc w:val="both"/>
        <w:rPr>
          <w:rFonts w:eastAsia="Calibri"/>
          <w:i/>
        </w:rPr>
      </w:pPr>
      <w:r w:rsidRPr="00375131">
        <w:rPr>
          <w:rFonts w:eastAsia="Calibri"/>
          <w:i/>
        </w:rPr>
        <w:t>Prodajni sejem</w:t>
      </w:r>
    </w:p>
    <w:p w:rsidR="0019431F" w:rsidRDefault="00375131" w:rsidP="0019431F">
      <w:pPr>
        <w:jc w:val="both"/>
        <w:rPr>
          <w:rFonts w:eastAsia="Calibri"/>
        </w:rPr>
      </w:pPr>
      <w:r w:rsidRPr="00375131">
        <w:rPr>
          <w:rFonts w:eastAsia="Calibri"/>
        </w:rPr>
        <w:t xml:space="preserve">Prof. dr. Holcman predlaga, da bi </w:t>
      </w:r>
      <w:r>
        <w:rPr>
          <w:rFonts w:eastAsia="Calibri"/>
        </w:rPr>
        <w:t xml:space="preserve">tudi v tem semestru, tako kot vsak semester do sedaj, potekal </w:t>
      </w:r>
      <w:r w:rsidRPr="00375131">
        <w:rPr>
          <w:rFonts w:eastAsia="Calibri"/>
        </w:rPr>
        <w:t xml:space="preserve">prodajni sejem strokovne pravne literature, na katerem </w:t>
      </w:r>
      <w:r>
        <w:rPr>
          <w:rFonts w:eastAsia="Calibri"/>
        </w:rPr>
        <w:t>so po navadi sodelovali</w:t>
      </w:r>
      <w:r w:rsidRPr="00375131">
        <w:rPr>
          <w:rFonts w:eastAsia="Calibri"/>
        </w:rPr>
        <w:t xml:space="preserve"> </w:t>
      </w:r>
      <w:r>
        <w:rPr>
          <w:rFonts w:eastAsia="Calibri"/>
        </w:rPr>
        <w:t>P</w:t>
      </w:r>
      <w:r w:rsidRPr="00375131">
        <w:rPr>
          <w:rFonts w:eastAsia="Calibri"/>
        </w:rPr>
        <w:t>rav</w:t>
      </w:r>
      <w:r>
        <w:rPr>
          <w:rFonts w:eastAsia="Calibri"/>
        </w:rPr>
        <w:t>na bukvarna, Uradni list RS in L</w:t>
      </w:r>
      <w:r w:rsidRPr="00375131">
        <w:rPr>
          <w:rFonts w:eastAsia="Calibri"/>
        </w:rPr>
        <w:t>expera d.o.o  (GV založba)</w:t>
      </w:r>
      <w:r>
        <w:rPr>
          <w:rFonts w:eastAsia="Calibri"/>
        </w:rPr>
        <w:t xml:space="preserve">. Sejem </w:t>
      </w:r>
      <w:r w:rsidRPr="00375131">
        <w:rPr>
          <w:rFonts w:eastAsia="Calibri"/>
        </w:rPr>
        <w:t>je po navadi potekal drugi torek po začetku zimskega oz. letnega semestra.</w:t>
      </w:r>
      <w:r>
        <w:rPr>
          <w:rFonts w:eastAsia="Calibri"/>
        </w:rPr>
        <w:t xml:space="preserve"> </w:t>
      </w:r>
    </w:p>
    <w:p w:rsidR="0019431F" w:rsidRDefault="0019431F" w:rsidP="00076EB7">
      <w:pPr>
        <w:pStyle w:val="Odstavekseznama"/>
        <w:numPr>
          <w:ilvl w:val="0"/>
          <w:numId w:val="29"/>
        </w:numPr>
        <w:jc w:val="both"/>
        <w:rPr>
          <w:rFonts w:eastAsia="Calibri"/>
          <w:i/>
        </w:rPr>
      </w:pPr>
      <w:r w:rsidRPr="0019431F">
        <w:rPr>
          <w:rFonts w:eastAsia="Calibri"/>
          <w:i/>
        </w:rPr>
        <w:t xml:space="preserve">Naročilo knjig/revij </w:t>
      </w:r>
      <w:r w:rsidR="00AB62A6">
        <w:rPr>
          <w:rFonts w:eastAsia="Calibri"/>
          <w:i/>
        </w:rPr>
        <w:t>– glej pri</w:t>
      </w:r>
      <w:r w:rsidR="00396173">
        <w:rPr>
          <w:rFonts w:eastAsia="Calibri"/>
          <w:i/>
        </w:rPr>
        <w:t>logo</w:t>
      </w:r>
    </w:p>
    <w:p w:rsidR="00076EB7" w:rsidRDefault="00076EB7" w:rsidP="00076EB7">
      <w:pPr>
        <w:pStyle w:val="Odstavekseznama"/>
        <w:ind w:left="1080"/>
        <w:jc w:val="both"/>
        <w:rPr>
          <w:rFonts w:eastAsia="Calibri"/>
          <w:i/>
        </w:rPr>
      </w:pPr>
      <w:r>
        <w:rPr>
          <w:rFonts w:eastAsia="Calibri"/>
          <w:i/>
        </w:rPr>
        <w:t>Revija:</w:t>
      </w:r>
      <w:r w:rsidR="00AB62A6">
        <w:rPr>
          <w:rFonts w:eastAsia="Calibri"/>
          <w:i/>
        </w:rPr>
        <w:t xml:space="preserve"> DELODAJALEC</w:t>
      </w:r>
      <w:r>
        <w:rPr>
          <w:rFonts w:eastAsia="Calibri"/>
          <w:i/>
        </w:rPr>
        <w:t xml:space="preserve"> </w:t>
      </w:r>
      <w:r w:rsidR="00AB62A6">
        <w:rPr>
          <w:rFonts w:eastAsia="Calibri"/>
          <w:i/>
        </w:rPr>
        <w:t>(Predla</w:t>
      </w:r>
      <w:r>
        <w:rPr>
          <w:rFonts w:eastAsia="Calibri"/>
          <w:i/>
        </w:rPr>
        <w:t>g</w:t>
      </w:r>
      <w:r w:rsidR="00AB62A6">
        <w:rPr>
          <w:rFonts w:eastAsia="Calibri"/>
          <w:i/>
        </w:rPr>
        <w:t>atelj:</w:t>
      </w:r>
      <w:r>
        <w:rPr>
          <w:rFonts w:eastAsia="Calibri"/>
          <w:i/>
        </w:rPr>
        <w:t xml:space="preserve"> </w:t>
      </w:r>
      <w:r w:rsidR="00AB62A6">
        <w:rPr>
          <w:rFonts w:eastAsia="Calibri"/>
          <w:i/>
        </w:rPr>
        <w:t>Maja</w:t>
      </w:r>
      <w:r>
        <w:rPr>
          <w:rFonts w:eastAsia="Calibri"/>
          <w:i/>
        </w:rPr>
        <w:t xml:space="preserve"> Habjanič</w:t>
      </w:r>
      <w:r w:rsidR="00AB62A6">
        <w:rPr>
          <w:rFonts w:eastAsia="Calibri"/>
          <w:i/>
        </w:rPr>
        <w:t>, 7.1.2019)</w:t>
      </w:r>
      <w:r>
        <w:rPr>
          <w:rFonts w:eastAsia="Calibri"/>
          <w:i/>
        </w:rPr>
        <w:t>. Letna naročnina 192€</w:t>
      </w:r>
    </w:p>
    <w:p w:rsidR="00AB62A6" w:rsidRDefault="00AB62A6" w:rsidP="00076EB7">
      <w:pPr>
        <w:pStyle w:val="Odstavekseznama"/>
        <w:ind w:left="1080"/>
        <w:jc w:val="both"/>
        <w:rPr>
          <w:rFonts w:eastAsia="Calibri"/>
          <w:i/>
        </w:rPr>
      </w:pPr>
    </w:p>
    <w:p w:rsidR="0019431F" w:rsidRPr="0019431F" w:rsidRDefault="0019431F" w:rsidP="0019431F">
      <w:pPr>
        <w:pStyle w:val="Odstavekseznama"/>
        <w:ind w:left="1080"/>
        <w:jc w:val="both"/>
        <w:rPr>
          <w:rFonts w:eastAsia="Calibri"/>
        </w:rPr>
      </w:pPr>
    </w:p>
    <w:p w:rsidR="00375131" w:rsidRDefault="0019431F" w:rsidP="0019431F">
      <w:pPr>
        <w:pStyle w:val="Odstavekseznama"/>
        <w:numPr>
          <w:ilvl w:val="0"/>
          <w:numId w:val="22"/>
        </w:numPr>
        <w:spacing w:line="264" w:lineRule="auto"/>
        <w:ind w:left="1276" w:hanging="1276"/>
        <w:jc w:val="both"/>
        <w:rPr>
          <w:rFonts w:eastAsia="Calibri"/>
          <w:b/>
        </w:rPr>
      </w:pPr>
      <w:r>
        <w:rPr>
          <w:rFonts w:eastAsia="Calibri"/>
          <w:b/>
        </w:rPr>
        <w:t>a)</w:t>
      </w:r>
      <w:r w:rsidRPr="0019431F">
        <w:rPr>
          <w:rFonts w:eastAsia="Calibri"/>
          <w:b/>
        </w:rPr>
        <w:t xml:space="preserve"> Prodajni sejem strokovne pravne literature naj bo</w:t>
      </w:r>
      <w:r w:rsidR="00375131" w:rsidRPr="0019431F">
        <w:rPr>
          <w:rFonts w:eastAsia="Calibri"/>
          <w:b/>
        </w:rPr>
        <w:t xml:space="preserve"> čimprej, tj. v torek, 19. marca 2019</w:t>
      </w:r>
      <w:r w:rsidR="009C23EA">
        <w:rPr>
          <w:rFonts w:eastAsia="Calibri"/>
          <w:b/>
        </w:rPr>
        <w:t>,</w:t>
      </w:r>
      <w:r w:rsidR="00375131" w:rsidRPr="0019431F">
        <w:rPr>
          <w:rFonts w:eastAsia="Calibri"/>
          <w:b/>
        </w:rPr>
        <w:t xml:space="preserve"> med 9. in 13. uro v avli Pravne fakultete Univerze v Mariboru, povabi se naj dosedanje ponudnike (Uradni list RS in Lexpera d.o.o  (GV založba)</w:t>
      </w:r>
      <w:r w:rsidRPr="0019431F">
        <w:rPr>
          <w:rFonts w:eastAsia="Calibri"/>
          <w:b/>
        </w:rPr>
        <w:t>.</w:t>
      </w:r>
      <w:r w:rsidR="00375131" w:rsidRPr="0019431F">
        <w:rPr>
          <w:rFonts w:eastAsia="Calibri"/>
          <w:b/>
        </w:rPr>
        <w:t xml:space="preserve"> </w:t>
      </w:r>
    </w:p>
    <w:p w:rsidR="0019431F" w:rsidRPr="0019431F" w:rsidRDefault="0019431F" w:rsidP="0019431F">
      <w:pPr>
        <w:pStyle w:val="Odstavekseznama"/>
        <w:spacing w:line="264" w:lineRule="auto"/>
        <w:ind w:left="1276"/>
        <w:jc w:val="both"/>
        <w:rPr>
          <w:rFonts w:eastAsia="Calibri"/>
          <w:b/>
        </w:rPr>
      </w:pPr>
      <w:r>
        <w:rPr>
          <w:rFonts w:eastAsia="Calibri"/>
          <w:b/>
        </w:rPr>
        <w:t>b) Naročijo se naj knjige po priloženem seznamu.</w:t>
      </w:r>
    </w:p>
    <w:p w:rsidR="00281100" w:rsidRPr="00281100" w:rsidRDefault="00281100" w:rsidP="00281100">
      <w:pPr>
        <w:spacing w:after="0" w:line="264" w:lineRule="auto"/>
        <w:jc w:val="both"/>
        <w:rPr>
          <w:rFonts w:eastAsia="Calibri"/>
        </w:rPr>
      </w:pPr>
    </w:p>
    <w:p w:rsidR="00281100" w:rsidRPr="00281100" w:rsidRDefault="00281100" w:rsidP="00281100">
      <w:pPr>
        <w:spacing w:after="0" w:line="264" w:lineRule="auto"/>
        <w:jc w:val="both"/>
        <w:rPr>
          <w:rFonts w:eastAsia="Calibri"/>
          <w:b/>
          <w:u w:val="single"/>
        </w:rPr>
      </w:pPr>
      <w:r w:rsidRPr="00281100">
        <w:rPr>
          <w:rFonts w:eastAsia="Calibri"/>
          <w:b/>
          <w:u w:val="single"/>
        </w:rPr>
        <w:t xml:space="preserve">Seja je bila zaključena ob </w:t>
      </w:r>
      <w:r w:rsidR="0009374A">
        <w:rPr>
          <w:rFonts w:eastAsia="Calibri"/>
          <w:b/>
          <w:u w:val="single"/>
        </w:rPr>
        <w:t>12:45</w:t>
      </w:r>
      <w:r w:rsidRPr="00281100">
        <w:rPr>
          <w:rFonts w:eastAsia="Calibri"/>
          <w:b/>
          <w:u w:val="single"/>
        </w:rPr>
        <w:t xml:space="preserve"> uri.</w:t>
      </w:r>
    </w:p>
    <w:p w:rsidR="00281100" w:rsidRPr="00281100" w:rsidRDefault="00281100" w:rsidP="00281100">
      <w:pPr>
        <w:spacing w:after="0" w:line="264" w:lineRule="auto"/>
        <w:jc w:val="both"/>
        <w:rPr>
          <w:rFonts w:eastAsia="Calibri"/>
        </w:rPr>
      </w:pPr>
    </w:p>
    <w:p w:rsidR="00281100" w:rsidRPr="00281100" w:rsidRDefault="00281100" w:rsidP="00281100">
      <w:pPr>
        <w:spacing w:after="0" w:line="264" w:lineRule="auto"/>
        <w:jc w:val="both"/>
        <w:rPr>
          <w:rFonts w:eastAsia="Calibri"/>
        </w:rPr>
      </w:pPr>
      <w:r w:rsidRPr="00281100">
        <w:rPr>
          <w:rFonts w:eastAsia="Calibri"/>
        </w:rPr>
        <w:t>Zapisala:</w:t>
      </w:r>
    </w:p>
    <w:p w:rsidR="003230E7" w:rsidRDefault="00281100" w:rsidP="00281100">
      <w:pPr>
        <w:spacing w:after="0" w:line="264" w:lineRule="auto"/>
        <w:jc w:val="both"/>
        <w:rPr>
          <w:rFonts w:eastAsia="Calibri"/>
        </w:rPr>
      </w:pPr>
      <w:r w:rsidRPr="00281100">
        <w:rPr>
          <w:rFonts w:eastAsia="Calibri"/>
        </w:rPr>
        <w:t>Mag. Natalija Orešek</w:t>
      </w:r>
      <w:r w:rsidR="00DA5DD2">
        <w:rPr>
          <w:rFonts w:eastAsia="Calibri"/>
        </w:rPr>
        <w:t xml:space="preserve">, </w:t>
      </w:r>
    </w:p>
    <w:p w:rsidR="00AB62A6" w:rsidRDefault="00396173" w:rsidP="00281100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3.4</w:t>
      </w:r>
      <w:r w:rsidR="0019431F">
        <w:rPr>
          <w:rFonts w:eastAsia="Calibri"/>
        </w:rPr>
        <w:t>.2019</w:t>
      </w:r>
    </w:p>
    <w:p w:rsidR="00396173" w:rsidRDefault="00396173" w:rsidP="00281100">
      <w:pPr>
        <w:spacing w:after="0" w:line="264" w:lineRule="auto"/>
        <w:jc w:val="both"/>
        <w:rPr>
          <w:rFonts w:eastAsia="Calibri"/>
        </w:rPr>
      </w:pPr>
    </w:p>
    <w:p w:rsidR="00396173" w:rsidRDefault="00396173" w:rsidP="00281100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</w:t>
      </w:r>
    </w:p>
    <w:p w:rsidR="00396173" w:rsidRDefault="00396173" w:rsidP="00281100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PRILOGA:</w:t>
      </w:r>
    </w:p>
    <w:p w:rsidR="00396173" w:rsidRDefault="00396173" w:rsidP="00281100">
      <w:pPr>
        <w:spacing w:after="0" w:line="264" w:lineRule="auto"/>
        <w:jc w:val="both"/>
        <w:rPr>
          <w:rFonts w:eastAsia="Calibri"/>
        </w:rPr>
      </w:pPr>
    </w:p>
    <w:p w:rsidR="00396173" w:rsidRPr="00396173" w:rsidRDefault="00396173" w:rsidP="00396173">
      <w:pPr>
        <w:pStyle w:val="Odstavekseznama"/>
        <w:numPr>
          <w:ilvl w:val="0"/>
          <w:numId w:val="14"/>
        </w:numPr>
        <w:spacing w:line="264" w:lineRule="auto"/>
        <w:jc w:val="both"/>
        <w:rPr>
          <w:rFonts w:eastAsia="Calibri"/>
        </w:rPr>
        <w:sectPr w:rsidR="00396173" w:rsidRPr="00396173" w:rsidSect="00962BBF"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396173">
        <w:rPr>
          <w:rFonts w:eastAsia="Calibri"/>
        </w:rPr>
        <w:t>Seznam naročenih knjig, KO-marec 2019</w:t>
      </w:r>
    </w:p>
    <w:p w:rsidR="00AB62A6" w:rsidRDefault="00AB62A6" w:rsidP="00281100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lastRenderedPageBreak/>
        <w:t>Priloga:</w:t>
      </w:r>
    </w:p>
    <w:p w:rsidR="00281100" w:rsidRDefault="00396173" w:rsidP="00281100">
      <w:pPr>
        <w:spacing w:after="0" w:line="264" w:lineRule="auto"/>
        <w:jc w:val="both"/>
        <w:rPr>
          <w:rFonts w:eastAsia="Calibri"/>
        </w:rPr>
      </w:pPr>
      <w:r>
        <w:rPr>
          <w:rFonts w:eastAsia="Calibri"/>
        </w:rPr>
        <w:t>Seznam naročenih</w:t>
      </w:r>
      <w:r w:rsidR="00AB62A6">
        <w:rPr>
          <w:rFonts w:eastAsia="Calibri"/>
        </w:rPr>
        <w:t xml:space="preserve"> knjig, KO-marec 2019</w:t>
      </w:r>
    </w:p>
    <w:p w:rsidR="00AB62A6" w:rsidRDefault="00AB62A6" w:rsidP="00281100">
      <w:pPr>
        <w:spacing w:after="0" w:line="264" w:lineRule="auto"/>
        <w:jc w:val="both"/>
        <w:rPr>
          <w:rFonts w:eastAsia="Calibri"/>
        </w:rPr>
      </w:pPr>
    </w:p>
    <w:tbl>
      <w:tblPr>
        <w:tblW w:w="13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585"/>
        <w:gridCol w:w="2754"/>
        <w:gridCol w:w="1018"/>
        <w:gridCol w:w="1843"/>
        <w:gridCol w:w="1395"/>
        <w:gridCol w:w="919"/>
        <w:gridCol w:w="653"/>
        <w:gridCol w:w="870"/>
        <w:gridCol w:w="896"/>
        <w:gridCol w:w="870"/>
        <w:gridCol w:w="739"/>
      </w:tblGrid>
      <w:tr w:rsidR="001A44AF" w:rsidRPr="00F336CE" w:rsidTr="00396173">
        <w:trPr>
          <w:trHeight w:val="48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396173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bookmarkStart w:id="1" w:name="RANGE!A1:M21"/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Št</w:t>
            </w:r>
            <w:r w:rsidR="00F336CE"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.</w:t>
            </w:r>
            <w:bookmarkEnd w:id="1"/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ISBN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396173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396173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Avtorji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396173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Založnik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Pr</w:t>
            </w:r>
            <w:r w:rsidR="0039617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edlagatelj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Predvidena cena*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Št. izvodov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Dne: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Naroči(l)ti pri: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Naročili dne: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Cena, ki smo jo dejansko plačali</w:t>
            </w:r>
            <w:r w:rsidR="0039617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 xml:space="preserve"> (€)</w:t>
            </w: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:</w:t>
            </w:r>
          </w:p>
        </w:tc>
      </w:tr>
      <w:tr w:rsidR="001A44AF" w:rsidRPr="00F336CE" w:rsidTr="00396173">
        <w:trPr>
          <w:trHeight w:val="48"/>
        </w:trPr>
        <w:tc>
          <w:tcPr>
            <w:tcW w:w="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978-0691183510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0B2EA1" w:rsidP="00F336CE">
            <w:pPr>
              <w:spacing w:after="0"/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eastAsia="sl-SI"/>
              </w:rPr>
            </w:pPr>
            <w:hyperlink r:id="rId16" w:history="1">
              <w:r w:rsidR="00F336CE" w:rsidRPr="00F336CE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  <w:lang w:eastAsia="sl-SI"/>
                </w:rPr>
                <w:t>Gods and Robots: Myths, Machines, and Ancient Dreams of Technology</w:t>
              </w:r>
            </w:hyperlink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Adrienne Mayor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Princeton University Press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dr. Suzana Kraljić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18,99 USD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MissingLink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1A44AF" w:rsidRPr="00F336CE" w:rsidTr="00396173">
        <w:trPr>
          <w:trHeight w:val="5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9781107629554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0B2EA1" w:rsidP="00F336CE">
            <w:pPr>
              <w:spacing w:after="0"/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eastAsia="sl-SI"/>
              </w:rPr>
            </w:pPr>
            <w:hyperlink r:id="rId17" w:history="1">
              <w:r w:rsidR="00F336CE" w:rsidRPr="00F336CE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  <w:lang w:eastAsia="sl-SI"/>
                </w:rPr>
                <w:t>Corporate Insolvency Law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Vanessa Finch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Cambridge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dr. Vesna Kranjc na predlog dr. Jerneje Prostor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49,99 GBP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MissingLink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49,61</w:t>
            </w:r>
          </w:p>
        </w:tc>
      </w:tr>
      <w:tr w:rsidR="001A44AF" w:rsidRPr="00F336CE" w:rsidTr="00396173">
        <w:trPr>
          <w:trHeight w:val="5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978-3-16-156977-7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0B2EA1" w:rsidP="00F336CE">
            <w:pPr>
              <w:spacing w:after="0"/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eastAsia="sl-SI"/>
              </w:rPr>
            </w:pPr>
            <w:hyperlink r:id="rId18" w:history="1">
              <w:r w:rsidR="00F336CE" w:rsidRPr="00F336CE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  <w:lang w:eastAsia="sl-SI"/>
                </w:rPr>
                <w:t>Einführung in das Insolvenzrecht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Reinhard Bork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Beck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dr. Vesna Kranjc na predlog dr. Jerneje Prostor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29</w:t>
            </w:r>
            <w:r w:rsidR="00396173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,00</w:t>
            </w: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€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MissingLink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24,65</w:t>
            </w:r>
          </w:p>
        </w:tc>
      </w:tr>
      <w:tr w:rsidR="001A44AF" w:rsidRPr="00F336CE" w:rsidTr="00396173">
        <w:trPr>
          <w:trHeight w:val="5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978-3-214-09023-4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0B2EA1" w:rsidP="00F336CE">
            <w:pPr>
              <w:spacing w:after="0"/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eastAsia="sl-SI"/>
              </w:rPr>
            </w:pPr>
            <w:hyperlink r:id="rId19" w:history="1">
              <w:r w:rsidR="00F336CE" w:rsidRPr="00F336CE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  <w:lang w:eastAsia="sl-SI"/>
                </w:rPr>
                <w:t>Insolvenzrecht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Dellinger / Oberhammer / Koller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Manz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dr. Vesna Kranjc na predlog dr. Jerneje Prostor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44,75 €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MissingLink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44,75</w:t>
            </w:r>
          </w:p>
        </w:tc>
      </w:tr>
      <w:tr w:rsidR="001A44AF" w:rsidRPr="00F336CE" w:rsidTr="00396173">
        <w:trPr>
          <w:trHeight w:val="5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978-92-842-0078-8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0B2EA1" w:rsidP="00F336CE">
            <w:pPr>
              <w:spacing w:after="0"/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eastAsia="sl-SI"/>
              </w:rPr>
            </w:pPr>
            <w:hyperlink r:id="rId20" w:history="1">
              <w:r w:rsidR="00F336CE" w:rsidRPr="00F336CE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  <w:lang w:eastAsia="sl-SI"/>
                </w:rPr>
                <w:t>Guide to ICC Uniform Rules for Demand Guarantees URDG 758, ICC  Publication No 702E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G. Affaki, R. Goode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Paris : International Chamber of Commerce, cop. 2011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dr. Vesna Kranjc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119,00 €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MissingLink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12.03.2019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1A44AF" w:rsidRPr="00F336CE" w:rsidTr="00396173">
        <w:trPr>
          <w:trHeight w:val="5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978-961-204-652-1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0B2EA1" w:rsidP="00F336CE">
            <w:pPr>
              <w:spacing w:after="0"/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eastAsia="sl-SI"/>
              </w:rPr>
            </w:pPr>
            <w:hyperlink r:id="rId21" w:history="1">
              <w:r w:rsidR="00F336CE" w:rsidRPr="00F336CE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  <w:lang w:eastAsia="sl-SI"/>
                </w:rPr>
                <w:t>Veliki znanstveni komentar posebnega dela Kazenskega zakonika (KZ-1)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…Šepec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Uradni list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Uradni list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568,00 €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396173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Prodajni</w:t>
            </w:r>
            <w:r w:rsidR="00F336CE"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sejem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1A44AF" w:rsidRPr="00F336CE" w:rsidTr="00396173">
        <w:trPr>
          <w:trHeight w:val="5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978-961-247-410-2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Zakon o upravnem sporu (ZUS-1)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…Dobravec…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265,00 €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Prodajni</w:t>
            </w: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sejem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212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,00</w:t>
            </w:r>
          </w:p>
        </w:tc>
      </w:tr>
      <w:tr w:rsidR="001A44AF" w:rsidRPr="00F336CE" w:rsidTr="00396173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978-961-247-398-3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Dve razpravi o pravu in morali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Hart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  25,00 €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Prodajni</w:t>
            </w: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sejem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19,9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</w:t>
            </w:r>
          </w:p>
        </w:tc>
      </w:tr>
      <w:tr w:rsidR="001A44AF" w:rsidRPr="00F336CE" w:rsidTr="00396173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978-961-247-399-0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Pravo državljanstva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Matjaž Tratnik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  58,00 €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Prodajni</w:t>
            </w: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sejem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46,4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</w:t>
            </w:r>
          </w:p>
        </w:tc>
      </w:tr>
      <w:tr w:rsidR="00396173" w:rsidRPr="00F336CE" w:rsidTr="00396173">
        <w:trPr>
          <w:trHeight w:val="300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978-961-247-409-6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Pogledi sociologije prava, 2. izd.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Igličar, Albin; Štajnpihler Božič, Tilen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  71,23 €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Prodajni</w:t>
            </w: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sejem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62,4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</w:t>
            </w:r>
          </w:p>
        </w:tc>
      </w:tr>
      <w:tr w:rsidR="00396173" w:rsidRPr="00F336CE" w:rsidTr="00220910">
        <w:trPr>
          <w:trHeight w:val="5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978-961-247-405-8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Zakon o evidentiranju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nepremičnin ZEN-A pojasnila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Uvodna pojasnila: mag. Marijana Vugrin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160,00 €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173" w:rsidRPr="00F336CE" w:rsidRDefault="00396173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Prodajni</w:t>
            </w: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sejem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173" w:rsidRPr="00F336CE" w:rsidRDefault="00396173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,00</w:t>
            </w:r>
          </w:p>
        </w:tc>
      </w:tr>
      <w:tr w:rsidR="001A44AF" w:rsidRPr="00F336CE" w:rsidTr="00220910">
        <w:trPr>
          <w:trHeight w:val="300"/>
        </w:trPr>
        <w:tc>
          <w:tcPr>
            <w:tcW w:w="3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lastRenderedPageBreak/>
              <w:t>12</w:t>
            </w:r>
          </w:p>
        </w:tc>
        <w:tc>
          <w:tcPr>
            <w:tcW w:w="15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9789612474034</w:t>
            </w:r>
          </w:p>
        </w:tc>
        <w:tc>
          <w:tcPr>
            <w:tcW w:w="27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2018 Zbornik Konferenca kazenskega prava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Lexpera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  35,00 € 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1A44AF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Prodajni </w:t>
            </w:r>
            <w:r w:rsidR="00F336CE"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sejem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19.03.2019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28</w:t>
            </w:r>
            <w:r w:rsidR="00396173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,00</w:t>
            </w:r>
          </w:p>
        </w:tc>
      </w:tr>
      <w:tr w:rsidR="001A44AF" w:rsidRPr="00F336CE" w:rsidTr="00396173">
        <w:trPr>
          <w:trHeight w:val="175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978-961-204-652-8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 xml:space="preserve">Sportsko pravo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Hrvoje Kačer et al.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Sveu</w:t>
            </w: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čilište u Splitu, Pravni fakultet, 2018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dr. Suzana Kraljić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Sveučilište u Splitu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3.04.2019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1A44AF" w:rsidRPr="00F336CE" w:rsidTr="00396173">
        <w:trPr>
          <w:trHeight w:val="25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  <w:r w:rsidR="00396173" w:rsidRPr="00396173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978-961-6731-26-3 (zv. 1); 978-961-6731-27-0 (zv. 2); 978-961-6731-28-7 (komplet)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0B2EA1" w:rsidP="00F336CE">
            <w:pPr>
              <w:spacing w:after="0"/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eastAsia="sl-SI"/>
              </w:rPr>
            </w:pPr>
            <w:hyperlink r:id="rId22" w:history="1">
              <w:r w:rsidR="00F336CE" w:rsidRPr="00F336CE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  <w:lang w:eastAsia="sl-SI"/>
                </w:rPr>
                <w:t>Komentar Ustave Republike Slovenije - KURS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Odgovorni urednik: izr. prof. dr. Matej Avbelj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Nova Univerza, Univerzitetna knjižnica in znanstvena založba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dr. Jurij Toplak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250,00 €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21.03.2019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Nova Univerza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3.04.2019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1A44AF" w:rsidRPr="00F336CE" w:rsidTr="00396173">
        <w:trPr>
          <w:trHeight w:val="5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978-1316621172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0B2EA1" w:rsidP="00F336CE">
            <w:pPr>
              <w:spacing w:after="0"/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eastAsia="sl-SI"/>
              </w:rPr>
            </w:pPr>
            <w:hyperlink r:id="rId23" w:history="1">
              <w:r w:rsidR="00F336CE" w:rsidRPr="00F336CE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  <w:lang w:eastAsia="sl-SI"/>
                </w:rPr>
                <w:t>Jurisprudence: (Englisch) Taschenbuch (3rd ed.)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Suri Ratnapala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Cambridge University Press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dr. Tomaž Keresteš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  40,30 €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22.03.2019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MissingLink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3.04.2019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1A44AF" w:rsidRPr="00F336CE" w:rsidTr="001A44AF">
        <w:trPr>
          <w:trHeight w:val="58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527324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27324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978-3-8487-0856-7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0B2EA1" w:rsidP="00F336CE">
            <w:pPr>
              <w:spacing w:after="0"/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eastAsia="sl-SI"/>
              </w:rPr>
            </w:pPr>
            <w:hyperlink r:id="rId24" w:history="1">
              <w:r w:rsidR="00F336CE" w:rsidRPr="00F336CE">
                <w:rPr>
                  <w:rFonts w:asciiTheme="minorHAnsi" w:hAnsiTheme="minorHAnsi" w:cstheme="minorHAnsi"/>
                  <w:color w:val="0563C1"/>
                  <w:sz w:val="16"/>
                  <w:szCs w:val="16"/>
                  <w:u w:val="single"/>
                  <w:lang w:eastAsia="sl-SI"/>
                </w:rPr>
                <w:t>Recht, Lehre und Ethik der öffentlichen Verwaltung</w:t>
              </w:r>
            </w:hyperlink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Busch / Kutscha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Nomos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dr. Borut Holcman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39617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                   89,00 €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14.03.2019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MissingLink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3.04.2019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1A44AF" w:rsidRPr="00F336CE" w:rsidTr="001A44AF">
        <w:trPr>
          <w:trHeight w:val="6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Predv</w:t>
            </w:r>
            <w:r w:rsidR="001A44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. cena (£)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49,99</w:t>
            </w:r>
          </w:p>
        </w:tc>
        <w:tc>
          <w:tcPr>
            <w:tcW w:w="6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1A44AF" w:rsidRPr="00F336CE" w:rsidTr="001A44AF">
        <w:trPr>
          <w:trHeight w:val="4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Predv. cena ($)</w:t>
            </w: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18,99</w:t>
            </w:r>
          </w:p>
        </w:tc>
        <w:tc>
          <w:tcPr>
            <w:tcW w:w="6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1A44AF" w:rsidRPr="00F336CE" w:rsidTr="001A44AF">
        <w:trPr>
          <w:trHeight w:val="4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Predv. cena (€)</w:t>
            </w: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2682,88</w:t>
            </w:r>
          </w:p>
        </w:tc>
        <w:tc>
          <w:tcPr>
            <w:tcW w:w="6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</w:tr>
      <w:tr w:rsidR="001A44AF" w:rsidRPr="00F336CE" w:rsidTr="001A44AF">
        <w:trPr>
          <w:trHeight w:val="11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4AF" w:rsidRDefault="00F336CE" w:rsidP="00F336CE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Skupaj </w:t>
            </w:r>
          </w:p>
          <w:p w:rsidR="00396173" w:rsidRDefault="001A44AF" w:rsidP="00F336CE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l-SI"/>
              </w:rPr>
              <w:t>predvidena</w:t>
            </w:r>
            <w:r w:rsidR="00F336CE" w:rsidRPr="00F336CE">
              <w:rPr>
                <w:rFonts w:cs="Calibri"/>
                <w:b/>
                <w:bCs/>
                <w:color w:val="000000"/>
                <w:sz w:val="16"/>
                <w:szCs w:val="16"/>
                <w:lang w:eastAsia="sl-SI"/>
              </w:rPr>
              <w:t xml:space="preserve"> cena </w:t>
            </w:r>
          </w:p>
          <w:p w:rsidR="00F336CE" w:rsidRPr="00F336CE" w:rsidRDefault="00F336CE" w:rsidP="00F336CE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cs="Calibri"/>
                <w:b/>
                <w:bCs/>
                <w:color w:val="000000"/>
                <w:sz w:val="16"/>
                <w:szCs w:val="16"/>
                <w:lang w:eastAsia="sl-SI"/>
              </w:rPr>
              <w:t>(preračunano v €):</w:t>
            </w: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336CE">
              <w:rPr>
                <w:rFonts w:cs="Calibri"/>
                <w:b/>
                <w:bCs/>
                <w:color w:val="000000"/>
                <w:sz w:val="16"/>
                <w:szCs w:val="16"/>
                <w:lang w:eastAsia="sl-SI"/>
              </w:rPr>
              <w:t>2.756,39 €</w:t>
            </w:r>
          </w:p>
        </w:tc>
        <w:tc>
          <w:tcPr>
            <w:tcW w:w="6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jc w:val="right"/>
              <w:rPr>
                <w:rFonts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CE" w:rsidRPr="00F336CE" w:rsidRDefault="00F336CE" w:rsidP="00F336CE">
            <w:pPr>
              <w:spacing w:after="0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</w:tr>
    </w:tbl>
    <w:p w:rsidR="00AB62A6" w:rsidRDefault="00AB62A6" w:rsidP="00281100">
      <w:pPr>
        <w:spacing w:after="0" w:line="264" w:lineRule="auto"/>
        <w:jc w:val="both"/>
        <w:rPr>
          <w:rFonts w:eastAsia="Calibri"/>
        </w:rPr>
      </w:pPr>
    </w:p>
    <w:sectPr w:rsidR="00AB62A6" w:rsidSect="00AB62A6"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A1" w:rsidRDefault="000B2EA1" w:rsidP="00BB5C4F">
      <w:pPr>
        <w:spacing w:after="0"/>
      </w:pPr>
      <w:r>
        <w:separator/>
      </w:r>
    </w:p>
  </w:endnote>
  <w:endnote w:type="continuationSeparator" w:id="0">
    <w:p w:rsidR="000B2EA1" w:rsidRDefault="000B2EA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1E" w:rsidRPr="007564BD" w:rsidRDefault="0032421E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61BB9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61BB9">
      <w:rPr>
        <w:noProof/>
        <w:color w:val="006A8E"/>
        <w:sz w:val="18"/>
      </w:rPr>
      <w:t>7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1E" w:rsidRDefault="0032421E" w:rsidP="00D17A99">
    <w:pPr>
      <w:pStyle w:val="Noga"/>
      <w:jc w:val="center"/>
      <w:rPr>
        <w:color w:val="006A8E"/>
        <w:sz w:val="18"/>
      </w:rPr>
    </w:pPr>
  </w:p>
  <w:p w:rsidR="0032421E" w:rsidRDefault="0032421E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A1" w:rsidRDefault="000B2EA1" w:rsidP="00BB5C4F">
      <w:pPr>
        <w:spacing w:after="0"/>
      </w:pPr>
      <w:r>
        <w:separator/>
      </w:r>
    </w:p>
  </w:footnote>
  <w:footnote w:type="continuationSeparator" w:id="0">
    <w:p w:rsidR="000B2EA1" w:rsidRDefault="000B2EA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1E" w:rsidRDefault="0032421E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0" b="0"/>
          <wp:docPr id="1" name="Slika 1" descr="logo-um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21E" w:rsidRPr="00B02A70" w:rsidRDefault="0032421E" w:rsidP="00054766">
    <w:pPr>
      <w:pStyle w:val="Glava"/>
      <w:jc w:val="center"/>
      <w:rPr>
        <w:sz w:val="12"/>
      </w:rPr>
    </w:pPr>
  </w:p>
  <w:p w:rsidR="0032421E" w:rsidRDefault="0032421E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Mladinska ulica 9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BB"/>
    <w:multiLevelType w:val="hybridMultilevel"/>
    <w:tmpl w:val="EBF83146"/>
    <w:lvl w:ilvl="0" w:tplc="696A89D6">
      <w:start w:val="1"/>
      <w:numFmt w:val="decimal"/>
      <w:lvlText w:val="%1. SKLEP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6D2A"/>
    <w:multiLevelType w:val="hybridMultilevel"/>
    <w:tmpl w:val="E3FCC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5E9"/>
    <w:multiLevelType w:val="hybridMultilevel"/>
    <w:tmpl w:val="32241696"/>
    <w:lvl w:ilvl="0" w:tplc="696A89D6">
      <w:start w:val="1"/>
      <w:numFmt w:val="decimal"/>
      <w:lvlText w:val="%1. SKLEP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6B4F"/>
    <w:multiLevelType w:val="hybridMultilevel"/>
    <w:tmpl w:val="236670A8"/>
    <w:lvl w:ilvl="0" w:tplc="4CFCF68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ED5"/>
    <w:multiLevelType w:val="hybridMultilevel"/>
    <w:tmpl w:val="8586DE64"/>
    <w:lvl w:ilvl="0" w:tplc="696A89D6">
      <w:start w:val="1"/>
      <w:numFmt w:val="decimal"/>
      <w:lvlText w:val="%1. SKLEP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2ABE"/>
    <w:multiLevelType w:val="hybridMultilevel"/>
    <w:tmpl w:val="226E1E28"/>
    <w:lvl w:ilvl="0" w:tplc="696A89D6">
      <w:start w:val="1"/>
      <w:numFmt w:val="decimal"/>
      <w:lvlText w:val="%1. SKLEP: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6152B"/>
    <w:multiLevelType w:val="hybridMultilevel"/>
    <w:tmpl w:val="81BEE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0F94"/>
    <w:multiLevelType w:val="hybridMultilevel"/>
    <w:tmpl w:val="B37C4F60"/>
    <w:lvl w:ilvl="0" w:tplc="E4926E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14EB3"/>
    <w:multiLevelType w:val="hybridMultilevel"/>
    <w:tmpl w:val="34620EBC"/>
    <w:lvl w:ilvl="0" w:tplc="3EE2D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A2C1B"/>
    <w:multiLevelType w:val="multilevel"/>
    <w:tmpl w:val="A3F8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35D03"/>
    <w:multiLevelType w:val="hybridMultilevel"/>
    <w:tmpl w:val="74101F86"/>
    <w:lvl w:ilvl="0" w:tplc="E4926E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03B5D"/>
    <w:multiLevelType w:val="hybridMultilevel"/>
    <w:tmpl w:val="F01E527E"/>
    <w:lvl w:ilvl="0" w:tplc="E4926E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C284D"/>
    <w:multiLevelType w:val="multilevel"/>
    <w:tmpl w:val="B67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50E51"/>
    <w:multiLevelType w:val="hybridMultilevel"/>
    <w:tmpl w:val="C3AAD6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E0204"/>
    <w:multiLevelType w:val="hybridMultilevel"/>
    <w:tmpl w:val="0A06E7C4"/>
    <w:lvl w:ilvl="0" w:tplc="59C8A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923E7"/>
    <w:multiLevelType w:val="hybridMultilevel"/>
    <w:tmpl w:val="5BF895EE"/>
    <w:lvl w:ilvl="0" w:tplc="822E83B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32C5"/>
    <w:multiLevelType w:val="hybridMultilevel"/>
    <w:tmpl w:val="77C8B402"/>
    <w:lvl w:ilvl="0" w:tplc="6F4AC8C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61D3CCF"/>
    <w:multiLevelType w:val="hybridMultilevel"/>
    <w:tmpl w:val="EA9CF7B6"/>
    <w:lvl w:ilvl="0" w:tplc="851C1E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57DB9"/>
    <w:multiLevelType w:val="hybridMultilevel"/>
    <w:tmpl w:val="82ECFB5A"/>
    <w:lvl w:ilvl="0" w:tplc="7D98BDDE">
      <w:start w:val="1"/>
      <w:numFmt w:val="decimal"/>
      <w:lvlText w:val="%1. SKLEP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F1F8C"/>
    <w:multiLevelType w:val="hybridMultilevel"/>
    <w:tmpl w:val="E3FCC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65DF7"/>
    <w:multiLevelType w:val="hybridMultilevel"/>
    <w:tmpl w:val="A790E578"/>
    <w:lvl w:ilvl="0" w:tplc="094C26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A2ACB"/>
    <w:multiLevelType w:val="hybridMultilevel"/>
    <w:tmpl w:val="E3FCC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46786"/>
    <w:multiLevelType w:val="hybridMultilevel"/>
    <w:tmpl w:val="7FC8C090"/>
    <w:lvl w:ilvl="0" w:tplc="0ECA9D6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B3F1B"/>
    <w:multiLevelType w:val="hybridMultilevel"/>
    <w:tmpl w:val="B27485F0"/>
    <w:lvl w:ilvl="0" w:tplc="DD465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06E5B"/>
    <w:multiLevelType w:val="hybridMultilevel"/>
    <w:tmpl w:val="C030A4A0"/>
    <w:lvl w:ilvl="0" w:tplc="A4A4913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B02E1"/>
    <w:multiLevelType w:val="hybridMultilevel"/>
    <w:tmpl w:val="1A6AD3FA"/>
    <w:lvl w:ilvl="0" w:tplc="F9A48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64A63"/>
    <w:multiLevelType w:val="hybridMultilevel"/>
    <w:tmpl w:val="608C32FE"/>
    <w:lvl w:ilvl="0" w:tplc="696A89D6">
      <w:start w:val="1"/>
      <w:numFmt w:val="decimal"/>
      <w:lvlText w:val="%1. SKLEP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25623"/>
    <w:multiLevelType w:val="hybridMultilevel"/>
    <w:tmpl w:val="E3FCC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5"/>
  </w:num>
  <w:num w:numId="7">
    <w:abstractNumId w:val="2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15"/>
  </w:num>
  <w:num w:numId="13">
    <w:abstractNumId w:val="13"/>
  </w:num>
  <w:num w:numId="14">
    <w:abstractNumId w:val="24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</w:num>
  <w:num w:numId="17">
    <w:abstractNumId w:val="7"/>
  </w:num>
  <w:num w:numId="18">
    <w:abstractNumId w:val="22"/>
  </w:num>
  <w:num w:numId="19">
    <w:abstractNumId w:val="30"/>
  </w:num>
  <w:num w:numId="20">
    <w:abstractNumId w:val="23"/>
  </w:num>
  <w:num w:numId="21">
    <w:abstractNumId w:val="20"/>
  </w:num>
  <w:num w:numId="22">
    <w:abstractNumId w:val="6"/>
  </w:num>
  <w:num w:numId="23">
    <w:abstractNumId w:val="16"/>
  </w:num>
  <w:num w:numId="24">
    <w:abstractNumId w:val="3"/>
  </w:num>
  <w:num w:numId="25">
    <w:abstractNumId w:val="11"/>
  </w:num>
  <w:num w:numId="26">
    <w:abstractNumId w:val="8"/>
  </w:num>
  <w:num w:numId="27">
    <w:abstractNumId w:val="19"/>
  </w:num>
  <w:num w:numId="28">
    <w:abstractNumId w:val="5"/>
  </w:num>
  <w:num w:numId="29">
    <w:abstractNumId w:val="9"/>
  </w:num>
  <w:num w:numId="30">
    <w:abstractNumId w:val="0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00"/>
    <w:rsid w:val="00015E8D"/>
    <w:rsid w:val="00027512"/>
    <w:rsid w:val="00030264"/>
    <w:rsid w:val="00051DAE"/>
    <w:rsid w:val="00051F90"/>
    <w:rsid w:val="00054766"/>
    <w:rsid w:val="00076EB7"/>
    <w:rsid w:val="000772CB"/>
    <w:rsid w:val="0009374A"/>
    <w:rsid w:val="000B2EA1"/>
    <w:rsid w:val="000C393D"/>
    <w:rsid w:val="000C4C9B"/>
    <w:rsid w:val="000F1A06"/>
    <w:rsid w:val="00101A12"/>
    <w:rsid w:val="00142518"/>
    <w:rsid w:val="0019431F"/>
    <w:rsid w:val="001A44AF"/>
    <w:rsid w:val="001B289F"/>
    <w:rsid w:val="00215201"/>
    <w:rsid w:val="002206DE"/>
    <w:rsid w:val="00220910"/>
    <w:rsid w:val="0023077C"/>
    <w:rsid w:val="0023207C"/>
    <w:rsid w:val="00256130"/>
    <w:rsid w:val="00281100"/>
    <w:rsid w:val="0028526B"/>
    <w:rsid w:val="00286B75"/>
    <w:rsid w:val="002E2D9F"/>
    <w:rsid w:val="00311139"/>
    <w:rsid w:val="003230E7"/>
    <w:rsid w:val="0032421E"/>
    <w:rsid w:val="00350BC7"/>
    <w:rsid w:val="00361DC1"/>
    <w:rsid w:val="00371EEE"/>
    <w:rsid w:val="00375131"/>
    <w:rsid w:val="00396173"/>
    <w:rsid w:val="003B03AD"/>
    <w:rsid w:val="003D6941"/>
    <w:rsid w:val="003F728B"/>
    <w:rsid w:val="00400569"/>
    <w:rsid w:val="00405B81"/>
    <w:rsid w:val="00413C63"/>
    <w:rsid w:val="00420CC2"/>
    <w:rsid w:val="00440D5E"/>
    <w:rsid w:val="00464C09"/>
    <w:rsid w:val="00467E02"/>
    <w:rsid w:val="004A2164"/>
    <w:rsid w:val="004D4EC4"/>
    <w:rsid w:val="00504EDA"/>
    <w:rsid w:val="00507E9B"/>
    <w:rsid w:val="00522FDF"/>
    <w:rsid w:val="00523B78"/>
    <w:rsid w:val="00527324"/>
    <w:rsid w:val="0053732A"/>
    <w:rsid w:val="005376C1"/>
    <w:rsid w:val="0056517C"/>
    <w:rsid w:val="00594F61"/>
    <w:rsid w:val="005A18EF"/>
    <w:rsid w:val="005B48A9"/>
    <w:rsid w:val="00640991"/>
    <w:rsid w:val="00674125"/>
    <w:rsid w:val="00675697"/>
    <w:rsid w:val="00681FE8"/>
    <w:rsid w:val="006837C4"/>
    <w:rsid w:val="006A3EBA"/>
    <w:rsid w:val="007138CE"/>
    <w:rsid w:val="007410DA"/>
    <w:rsid w:val="007447C7"/>
    <w:rsid w:val="0074789F"/>
    <w:rsid w:val="00751834"/>
    <w:rsid w:val="007554FD"/>
    <w:rsid w:val="007564BD"/>
    <w:rsid w:val="007740F8"/>
    <w:rsid w:val="00781684"/>
    <w:rsid w:val="00784EB8"/>
    <w:rsid w:val="007B34C1"/>
    <w:rsid w:val="007C4B80"/>
    <w:rsid w:val="007E5A96"/>
    <w:rsid w:val="007F120B"/>
    <w:rsid w:val="0080304F"/>
    <w:rsid w:val="00857118"/>
    <w:rsid w:val="00884BE7"/>
    <w:rsid w:val="0089310B"/>
    <w:rsid w:val="008F1D22"/>
    <w:rsid w:val="0092046C"/>
    <w:rsid w:val="00962BBF"/>
    <w:rsid w:val="00976288"/>
    <w:rsid w:val="00976774"/>
    <w:rsid w:val="009956F4"/>
    <w:rsid w:val="009B15C1"/>
    <w:rsid w:val="009B273E"/>
    <w:rsid w:val="009B4327"/>
    <w:rsid w:val="009C23EA"/>
    <w:rsid w:val="009C4376"/>
    <w:rsid w:val="009D1978"/>
    <w:rsid w:val="009E59A2"/>
    <w:rsid w:val="009F0192"/>
    <w:rsid w:val="00A03F1E"/>
    <w:rsid w:val="00A1587F"/>
    <w:rsid w:val="00A307E1"/>
    <w:rsid w:val="00A32CF9"/>
    <w:rsid w:val="00A575CF"/>
    <w:rsid w:val="00A74381"/>
    <w:rsid w:val="00AB0648"/>
    <w:rsid w:val="00AB1D13"/>
    <w:rsid w:val="00AB62A6"/>
    <w:rsid w:val="00B02A70"/>
    <w:rsid w:val="00B04C91"/>
    <w:rsid w:val="00B13296"/>
    <w:rsid w:val="00B14DD9"/>
    <w:rsid w:val="00B56977"/>
    <w:rsid w:val="00BB5C4F"/>
    <w:rsid w:val="00BC5329"/>
    <w:rsid w:val="00BE1791"/>
    <w:rsid w:val="00C25FF2"/>
    <w:rsid w:val="00C5005F"/>
    <w:rsid w:val="00C76F32"/>
    <w:rsid w:val="00CA3162"/>
    <w:rsid w:val="00CB20D8"/>
    <w:rsid w:val="00CB671C"/>
    <w:rsid w:val="00CD574A"/>
    <w:rsid w:val="00CD7DA4"/>
    <w:rsid w:val="00CF038D"/>
    <w:rsid w:val="00CF19B6"/>
    <w:rsid w:val="00D17A99"/>
    <w:rsid w:val="00D206E6"/>
    <w:rsid w:val="00D554AE"/>
    <w:rsid w:val="00D61BB9"/>
    <w:rsid w:val="00D76383"/>
    <w:rsid w:val="00D82FD2"/>
    <w:rsid w:val="00DA2930"/>
    <w:rsid w:val="00DA5DD2"/>
    <w:rsid w:val="00DB3236"/>
    <w:rsid w:val="00DB6C80"/>
    <w:rsid w:val="00DC556E"/>
    <w:rsid w:val="00DC5A67"/>
    <w:rsid w:val="00DD2432"/>
    <w:rsid w:val="00DD3A72"/>
    <w:rsid w:val="00E01C78"/>
    <w:rsid w:val="00E10BCB"/>
    <w:rsid w:val="00E23E73"/>
    <w:rsid w:val="00E244E2"/>
    <w:rsid w:val="00E5748D"/>
    <w:rsid w:val="00E757D1"/>
    <w:rsid w:val="00E75B93"/>
    <w:rsid w:val="00E82921"/>
    <w:rsid w:val="00E9735D"/>
    <w:rsid w:val="00EB435A"/>
    <w:rsid w:val="00F10752"/>
    <w:rsid w:val="00F1084A"/>
    <w:rsid w:val="00F22984"/>
    <w:rsid w:val="00F336CE"/>
    <w:rsid w:val="00F65543"/>
    <w:rsid w:val="00F75BC3"/>
    <w:rsid w:val="00F83525"/>
    <w:rsid w:val="00FA3157"/>
    <w:rsid w:val="00FB756D"/>
    <w:rsid w:val="00FC6DC6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4DC40"/>
  <w15:docId w15:val="{3EB13E5E-7F9B-4AB5-BDD5-E69CC31A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pple-converted-space">
    <w:name w:val="apple-converted-space"/>
    <w:rsid w:val="00467E0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beck-shop.de/bork-jz-schriftenreihe-5-einfhrung-insolvenzrecht/productview.aspx?product=2765567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radni-list.si/knjigarna/knjiga/veliki-znanstveni-komentar-posebnega-dela-kazenskega-zakonika-kz-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einonline.org/HeinDocs/Kluwer.pdf" TargetMode="External"/><Relationship Id="rId17" Type="http://schemas.openxmlformats.org/officeDocument/2006/relationships/hyperlink" Target="https://www.cambridge.org/si/academic/subjects/law/corporate-law/corporate-insolvency-law-perspectives-and-principles-3rd-edition?format=PB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azon.com/Gods-Robots-Machines-Ancient-Technology/dp/0691183511" TargetMode="External"/><Relationship Id="rId20" Type="http://schemas.openxmlformats.org/officeDocument/2006/relationships/hyperlink" Target="http://store.iccwbo.org/guide-to-icc-uniform-rules-for-demand-guarantees-urdg-75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inonline.org/HeinDocs/Kluwer.pdf" TargetMode="External"/><Relationship Id="rId24" Type="http://schemas.openxmlformats.org/officeDocument/2006/relationships/hyperlink" Target="https://www.nomos-shop.de/Busch-Kutscha-Recht-Lehre-Ethik-%C3%B6ffentlichen-Verwaltung/productview.aspx?product=2175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amazon.de/Jurisprudence-Suri-Ratnapala/dp/1316621170/ref=tmm_pap_swatch_0?_encoding=UTF8&amp;qid=1553263702&amp;sr=8-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eck-shop.de/dellinger-oberhammer-koller-rechtstaschenbuch-rtb-9-insolvenzrecht/productview.aspx?product=27299674&amp;pac=sem-shop&amp;adword=google/RDSA/RDSA&amp;gclid=Cj0KCQiAtbnjBRDBARIsAO3zDl8U9r19wt-4vjeYvs0k76Q6RPjbZ3AA-_t6y2zizWODe2VKrgcrAJcaAno6E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nova-uni.si/index.php/sl/zalozba/e-knjigarna/knjige/kurs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%20Ore&#353;ek\Downloads\dopis-um-pf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K67AKCNZ6W6Y-294-29</_dlc_DocId>
    <_dlc_DocIdUrl xmlns="c414fd7f-21c6-4d94-90e3-68400e5795fc">
      <Url>http://www.um.si/CGP/PF/_layouts/DocIdRedir.aspx?ID=K67AKCNZ6W6Y-294-29</Url>
      <Description>K67AKCNZ6W6Y-294-29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3845F21FACC449DD5A2288F10E2F4" ma:contentTypeVersion="1" ma:contentTypeDescription="Ustvari nov dokument." ma:contentTypeScope="" ma:versionID="f241e5e791e5fad1b76f43d9b66e667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A5166A-D13F-491F-A581-44D80A8FF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539F8-4BBF-488A-A029-5068854EAA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FFD819-AA37-4ED7-873D-76C9B87D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0500F-E40E-4503-A968-92BA7C6E7B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dopis-um-pf-1.dotx</Template>
  <TotalTime>56</TotalTime>
  <Pages>7</Pages>
  <Words>2536</Words>
  <Characters>14457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Orešek</dc:creator>
  <cp:lastModifiedBy>Natalija Orešek</cp:lastModifiedBy>
  <cp:revision>3</cp:revision>
  <cp:lastPrinted>2019-04-03T12:18:00Z</cp:lastPrinted>
  <dcterms:created xsi:type="dcterms:W3CDTF">2019-04-03T13:06:00Z</dcterms:created>
  <dcterms:modified xsi:type="dcterms:W3CDTF">2019-04-04T09:49:00Z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0x0101008073845F21FACC449DD5A2288F10E2F4</vt:lpwstr>
  </property>
  <property fmtid="{D5CDD505-2E9C-101B-9397-08002B2CF9AE}" pid="3" name="_dlc_DocIdItemGuid">
    <vt:lpwstr>e167bacd-0a96-4200-85cc-e6b8226d7ab4</vt:lpwstr>
  </property>
</Properties>
</file>